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EE0" w:rsidRPr="002C2C1D" w:rsidRDefault="00124EE0" w:rsidP="00124EE0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</w:pPr>
      <w:r>
        <w:rPr>
          <w:color w:val="000000" w:themeColor="text1"/>
          <w:sz w:val="36"/>
          <w:szCs w:val="36"/>
          <w:shd w:val="clear" w:color="auto" w:fill="FFFFFF"/>
        </w:rPr>
        <w:t xml:space="preserve">                       </w:t>
      </w:r>
      <w:r w:rsidRPr="005C4451">
        <w:rPr>
          <w:color w:val="000000" w:themeColor="text1"/>
          <w:sz w:val="36"/>
          <w:szCs w:val="36"/>
          <w:shd w:val="clear" w:color="auto" w:fill="FFFFFF"/>
        </w:rPr>
        <w:t xml:space="preserve"> </w:t>
      </w:r>
      <w:r w:rsidRPr="002C2C1D"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Эко</w:t>
      </w:r>
      <w:r>
        <w:rPr>
          <w:rFonts w:ascii="Times New Roman" w:hAnsi="Times New Roman" w:cs="Times New Roman"/>
          <w:b/>
          <w:color w:val="000000" w:themeColor="text1"/>
          <w:sz w:val="40"/>
          <w:szCs w:val="40"/>
          <w:shd w:val="clear" w:color="auto" w:fill="FFFFFF"/>
        </w:rPr>
        <w:t>логический туризм</w:t>
      </w:r>
    </w:p>
    <w:p w:rsidR="00124EE0" w:rsidRPr="005C4451" w:rsidRDefault="00124EE0" w:rsidP="00124EE0">
      <w:pPr>
        <w:shd w:val="clear" w:color="auto" w:fill="FFFFFF"/>
        <w:spacing w:after="150" w:line="240" w:lineRule="auto"/>
        <w:ind w:left="2694" w:hanging="283"/>
        <w:rPr>
          <w:color w:val="000000" w:themeColor="text1"/>
          <w:sz w:val="36"/>
          <w:szCs w:val="36"/>
          <w:shd w:val="clear" w:color="auto" w:fill="FFFFFF"/>
        </w:rPr>
      </w:pPr>
    </w:p>
    <w:p w:rsidR="00124EE0" w:rsidRDefault="00124EE0" w:rsidP="00124EE0">
      <w:pPr>
        <w:rPr>
          <w:shd w:val="clear" w:color="auto" w:fill="FFFFFF"/>
        </w:rPr>
      </w:pPr>
      <w:r>
        <w:rPr>
          <w:noProof/>
          <w:shd w:val="clear" w:color="auto" w:fill="FFFFFF"/>
          <w:lang w:eastAsia="ru-RU"/>
        </w:rPr>
        <w:drawing>
          <wp:inline distT="0" distB="0" distL="0" distR="0">
            <wp:extent cx="2590800" cy="2095500"/>
            <wp:effectExtent l="0" t="0" r="0" b="0"/>
            <wp:docPr id="3" name="Рисунок 3" descr="skriputevo_4-300x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kriputevo_4-300x20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95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     </w:t>
      </w:r>
      <w:r>
        <w:rPr>
          <w:noProof/>
          <w:shd w:val="clear" w:color="auto" w:fill="FFFFFF"/>
          <w:lang w:eastAsia="ru-RU"/>
        </w:rPr>
        <w:drawing>
          <wp:inline distT="0" distB="0" distL="0" distR="0" wp14:anchorId="3669AEAC" wp14:editId="0F5EC2C5">
            <wp:extent cx="2382520" cy="2101120"/>
            <wp:effectExtent l="0" t="0" r="0" b="0"/>
            <wp:docPr id="1" name="Рисунок 1" descr="C:\Users\ТИЦ2\AppData\Local\Microsoft\Windows\INetCache\Content.Word\skriputevo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Users\ТИЦ2\AppData\Local\Microsoft\Windows\INetCache\Content.Word\skriputevo_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481" cy="21081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shd w:val="clear" w:color="auto" w:fill="FFFFFF"/>
        </w:rPr>
        <w:t xml:space="preserve"> </w:t>
      </w:r>
    </w:p>
    <w:p w:rsidR="00124EE0" w:rsidRPr="0023604D" w:rsidRDefault="00124EE0" w:rsidP="00124EE0">
      <w:pPr>
        <w:rPr>
          <w:rStyle w:val="a3"/>
        </w:rPr>
      </w:pPr>
    </w:p>
    <w:p w:rsidR="00124EE0" w:rsidRDefault="00124EE0" w:rsidP="00124EE0">
      <w:pPr>
        <w:ind w:left="-851" w:firstLine="567"/>
        <w:jc w:val="both"/>
        <w:rPr>
          <w:rStyle w:val="a3"/>
          <w:rFonts w:ascii="Times New Roman" w:hAnsi="Times New Roman" w:cs="Times New Roman"/>
          <w:b w:val="0"/>
          <w:sz w:val="28"/>
          <w:szCs w:val="28"/>
        </w:rPr>
      </w:pPr>
      <w:r w:rsidRPr="00EC58BD">
        <w:rPr>
          <w:b/>
          <w:color w:val="000000" w:themeColor="text1"/>
          <w:shd w:val="clear" w:color="auto" w:fill="FFFFFF"/>
        </w:rPr>
        <w:t xml:space="preserve"> </w:t>
      </w:r>
      <w:r w:rsidRPr="009436D3">
        <w:rPr>
          <w:rStyle w:val="a3"/>
          <w:rFonts w:ascii="Times New Roman" w:hAnsi="Times New Roman" w:cs="Times New Roman"/>
          <w:sz w:val="28"/>
          <w:szCs w:val="28"/>
        </w:rPr>
        <w:t>Гидрологический заказник «</w:t>
      </w:r>
      <w:proofErr w:type="spellStart"/>
      <w:r w:rsidRPr="009436D3">
        <w:rPr>
          <w:rStyle w:val="a3"/>
          <w:rFonts w:ascii="Times New Roman" w:hAnsi="Times New Roman" w:cs="Times New Roman"/>
          <w:sz w:val="28"/>
          <w:szCs w:val="28"/>
        </w:rPr>
        <w:t>Скрипутёво</w:t>
      </w:r>
      <w:proofErr w:type="spellEnd"/>
      <w:r w:rsidRPr="009436D3">
        <w:rPr>
          <w:rStyle w:val="a3"/>
          <w:rFonts w:ascii="Times New Roman" w:hAnsi="Times New Roman" w:cs="Times New Roman"/>
          <w:sz w:val="28"/>
          <w:szCs w:val="28"/>
        </w:rPr>
        <w:t xml:space="preserve">» - </w:t>
      </w:r>
      <w:r w:rsidRPr="0094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Родник входит в ландшафтно-гидрологический заказник «</w:t>
      </w:r>
      <w:proofErr w:type="spellStart"/>
      <w:r w:rsidRPr="0094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Скрипутево</w:t>
      </w:r>
      <w:proofErr w:type="spellEnd"/>
      <w:r w:rsidRPr="0094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». </w:t>
      </w:r>
      <w:r w:rsidRPr="009436D3">
        <w:rPr>
          <w:rStyle w:val="a3"/>
          <w:rFonts w:ascii="Times New Roman" w:hAnsi="Times New Roman" w:cs="Times New Roman"/>
          <w:sz w:val="28"/>
          <w:szCs w:val="28"/>
        </w:rPr>
        <w:t>Заказник местного значения «</w:t>
      </w:r>
      <w:proofErr w:type="spellStart"/>
      <w:r w:rsidRPr="009436D3">
        <w:rPr>
          <w:rStyle w:val="a3"/>
          <w:rFonts w:ascii="Times New Roman" w:hAnsi="Times New Roman" w:cs="Times New Roman"/>
          <w:sz w:val="28"/>
          <w:szCs w:val="28"/>
        </w:rPr>
        <w:t>Скрипутево</w:t>
      </w:r>
      <w:proofErr w:type="spellEnd"/>
      <w:r w:rsidRPr="009436D3">
        <w:rPr>
          <w:rStyle w:val="a3"/>
          <w:rFonts w:ascii="Times New Roman" w:hAnsi="Times New Roman" w:cs="Times New Roman"/>
          <w:sz w:val="28"/>
          <w:szCs w:val="28"/>
        </w:rPr>
        <w:t xml:space="preserve">» образован с целью сохранения природного ландшафта       естественной гидрологической среды, имеет водорегулирующее значение и как накопитель и источник пресной воды. </w:t>
      </w:r>
      <w:r w:rsidRPr="009436D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Родник находится в глубоком овраге. Очень красивое место, напоминает горную местность. Окрестности родника благоустроены - спуск по лестнице, имеются беседки. Над родником сооружён помост, оригинально защищая сам выход воды. На помосте стоит часовня. Воду набирают из желоба, выходящего из-под помоста. Ниже по течению родникового ручья сооружена ванна для омовения. </w:t>
      </w:r>
      <w:r w:rsidRPr="0064584A">
        <w:rPr>
          <w:rStyle w:val="a3"/>
          <w:rFonts w:ascii="Times New Roman" w:hAnsi="Times New Roman" w:cs="Times New Roman"/>
          <w:sz w:val="28"/>
          <w:szCs w:val="28"/>
        </w:rPr>
        <w:t xml:space="preserve">Вода пресная. По некоторым 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сведениям, вода </w:t>
      </w:r>
      <w:r w:rsidRPr="0064584A">
        <w:rPr>
          <w:rStyle w:val="a3"/>
          <w:rFonts w:ascii="Times New Roman" w:hAnsi="Times New Roman" w:cs="Times New Roman"/>
          <w:sz w:val="28"/>
          <w:szCs w:val="28"/>
        </w:rPr>
        <w:t>содержит ионы серебра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</w:p>
    <w:p w:rsidR="00124EE0" w:rsidRDefault="00124EE0" w:rsidP="00124EE0">
      <w:pPr>
        <w:ind w:left="-851" w:hanging="283"/>
        <w:jc w:val="both"/>
        <w:rPr>
          <w:rStyle w:val="a3"/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64584A">
        <w:rPr>
          <w:rFonts w:ascii="Arial" w:eastAsia="Times New Roman" w:hAnsi="Arial" w:cs="Arial"/>
          <w:noProof/>
          <w:color w:val="4C4C4C"/>
          <w:sz w:val="27"/>
          <w:szCs w:val="27"/>
          <w:lang w:eastAsia="ru-RU"/>
        </w:rPr>
        <w:drawing>
          <wp:inline distT="0" distB="0" distL="0" distR="0" wp14:anchorId="4162C194" wp14:editId="04A92595">
            <wp:extent cx="4810125" cy="2952750"/>
            <wp:effectExtent l="0" t="0" r="9525" b="0"/>
            <wp:docPr id="2" name="Рисунок 2" descr="C:\Users\ТИЦ2\Desktop\001290_9064351757f2bba452403339f7bf7a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7" descr="C:\Users\ТИЦ2\Desktop\001290_9064351757f2bba452403339f7bf7a34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5515" r="-912" b="1619"/>
                    <a:stretch/>
                  </pic:blipFill>
                  <pic:spPr bwMode="auto">
                    <a:xfrm>
                      <a:off x="0" y="0"/>
                      <a:ext cx="4990865" cy="3063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  </w:t>
      </w:r>
    </w:p>
    <w:p w:rsidR="00124EE0" w:rsidRDefault="00124EE0" w:rsidP="00124EE0">
      <w:pPr>
        <w:ind w:left="-851" w:hanging="425"/>
        <w:jc w:val="both"/>
        <w:rPr>
          <w:b/>
        </w:rPr>
      </w:pPr>
      <w:r>
        <w:rPr>
          <w:rStyle w:val="a3"/>
          <w:rFonts w:ascii="Times New Roman" w:hAnsi="Times New Roman" w:cs="Times New Roman"/>
          <w:sz w:val="28"/>
          <w:szCs w:val="28"/>
        </w:rPr>
        <w:lastRenderedPageBreak/>
        <w:t xml:space="preserve">                   </w:t>
      </w:r>
      <w:r w:rsidRPr="000A21F2">
        <w:rPr>
          <w:rStyle w:val="a3"/>
          <w:rFonts w:ascii="Times New Roman" w:hAnsi="Times New Roman" w:cs="Times New Roman"/>
          <w:sz w:val="28"/>
          <w:szCs w:val="28"/>
        </w:rPr>
        <w:t xml:space="preserve">Биологический заказник </w:t>
      </w:r>
      <w:r w:rsidRPr="00BC177F">
        <w:rPr>
          <w:rStyle w:val="a3"/>
          <w:rFonts w:ascii="Times New Roman" w:hAnsi="Times New Roman" w:cs="Times New Roman"/>
          <w:sz w:val="28"/>
          <w:szCs w:val="28"/>
        </w:rPr>
        <w:t>«</w:t>
      </w:r>
      <w:r w:rsidRPr="000A21F2">
        <w:rPr>
          <w:rStyle w:val="a3"/>
          <w:rFonts w:ascii="Times New Roman" w:hAnsi="Times New Roman" w:cs="Times New Roman"/>
          <w:sz w:val="28"/>
          <w:szCs w:val="28"/>
        </w:rPr>
        <w:t>Медвежий лук</w:t>
      </w:r>
      <w:r w:rsidRPr="00BC177F">
        <w:rPr>
          <w:rStyle w:val="a3"/>
          <w:rFonts w:ascii="Times New Roman" w:hAnsi="Times New Roman" w:cs="Times New Roman"/>
          <w:sz w:val="28"/>
          <w:szCs w:val="28"/>
        </w:rPr>
        <w:t>»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. Заказник местного </w:t>
      </w:r>
      <w:proofErr w:type="spellStart"/>
      <w:r>
        <w:rPr>
          <w:rStyle w:val="a3"/>
          <w:rFonts w:ascii="Times New Roman" w:hAnsi="Times New Roman" w:cs="Times New Roman"/>
          <w:sz w:val="28"/>
          <w:szCs w:val="28"/>
        </w:rPr>
        <w:t>значеник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C177F">
        <w:rPr>
          <w:rStyle w:val="a3"/>
          <w:rFonts w:ascii="Times New Roman" w:hAnsi="Times New Roman" w:cs="Times New Roman"/>
          <w:sz w:val="28"/>
          <w:szCs w:val="28"/>
        </w:rPr>
        <w:t>«Медвежий лук» образован в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BC177F">
        <w:rPr>
          <w:rStyle w:val="a3"/>
          <w:rFonts w:ascii="Times New Roman" w:hAnsi="Times New Roman" w:cs="Times New Roman"/>
          <w:sz w:val="28"/>
          <w:szCs w:val="28"/>
        </w:rPr>
        <w:t>Толочинском</w:t>
      </w:r>
      <w:proofErr w:type="spellEnd"/>
      <w:r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BC177F">
        <w:rPr>
          <w:rStyle w:val="a3"/>
          <w:rFonts w:ascii="Times New Roman" w:hAnsi="Times New Roman" w:cs="Times New Roman"/>
          <w:sz w:val="28"/>
          <w:szCs w:val="28"/>
        </w:rPr>
        <w:t xml:space="preserve"> районе с целью сохранения в естественном состоянии места произрастания редкого вида растений,</w:t>
      </w:r>
      <w:r>
        <w:rPr>
          <w:rStyle w:val="a3"/>
          <w:rFonts w:ascii="Times New Roman" w:hAnsi="Times New Roman" w:cs="Times New Roman"/>
          <w:sz w:val="28"/>
          <w:szCs w:val="28"/>
        </w:rPr>
        <w:t xml:space="preserve"> </w:t>
      </w:r>
      <w:r w:rsidRPr="00BC177F">
        <w:rPr>
          <w:rStyle w:val="a3"/>
          <w:rFonts w:ascii="Times New Roman" w:hAnsi="Times New Roman" w:cs="Times New Roman"/>
          <w:sz w:val="28"/>
          <w:szCs w:val="28"/>
        </w:rPr>
        <w:t>включенного в Красную книгу Республики Беларусь –«Медвежий лук»</w:t>
      </w:r>
      <w:r>
        <w:rPr>
          <w:rStyle w:val="a3"/>
          <w:rFonts w:ascii="Times New Roman" w:hAnsi="Times New Roman" w:cs="Times New Roman"/>
          <w:sz w:val="28"/>
          <w:szCs w:val="28"/>
        </w:rPr>
        <w:t>.</w:t>
      </w:r>
      <w:r w:rsidRPr="00BC177F">
        <w:rPr>
          <w:rStyle w:val="a3"/>
          <w:rFonts w:ascii="Times New Roman" w:hAnsi="Times New Roman" w:cs="Times New Roman"/>
          <w:sz w:val="28"/>
          <w:szCs w:val="28"/>
        </w:rPr>
        <w:t xml:space="preserve">  </w:t>
      </w:r>
      <w:r w:rsidRPr="00BC177F">
        <w:rPr>
          <w:rStyle w:val="a3"/>
          <w:rFonts w:ascii="Times New Roman" w:hAnsi="Times New Roman" w:cs="Times New Roman"/>
          <w:sz w:val="28"/>
          <w:szCs w:val="28"/>
        </w:rPr>
        <w:br/>
      </w:r>
      <w:r w:rsidRPr="009436D3">
        <w:rPr>
          <w:rFonts w:ascii="Times New Roman" w:hAnsi="Times New Roman" w:cs="Times New Roman"/>
          <w:sz w:val="28"/>
          <w:szCs w:val="28"/>
        </w:rPr>
        <w:t xml:space="preserve">На территории заказника выявлено произрастание 2-х видов дикорастущих растений, включенных в Красную книгу Республики Беларусь: медвежий лук или черемша и </w:t>
      </w:r>
      <w:proofErr w:type="spellStart"/>
      <w:r w:rsidRPr="009436D3">
        <w:rPr>
          <w:rFonts w:ascii="Times New Roman" w:hAnsi="Times New Roman" w:cs="Times New Roman"/>
          <w:sz w:val="28"/>
          <w:szCs w:val="28"/>
        </w:rPr>
        <w:t>неккера</w:t>
      </w:r>
      <w:proofErr w:type="spellEnd"/>
      <w:r w:rsidRPr="009436D3">
        <w:rPr>
          <w:rFonts w:ascii="Times New Roman" w:hAnsi="Times New Roman" w:cs="Times New Roman"/>
          <w:sz w:val="28"/>
          <w:szCs w:val="28"/>
        </w:rPr>
        <w:t xml:space="preserve"> перистая. Леса заказника представлены 7 лесными формациями: ельником кисличным, </w:t>
      </w:r>
      <w:proofErr w:type="spellStart"/>
      <w:r w:rsidRPr="009436D3">
        <w:rPr>
          <w:rFonts w:ascii="Times New Roman" w:hAnsi="Times New Roman" w:cs="Times New Roman"/>
          <w:sz w:val="28"/>
          <w:szCs w:val="28"/>
        </w:rPr>
        <w:t>черноольшаниками</w:t>
      </w:r>
      <w:proofErr w:type="spellEnd"/>
      <w:r w:rsidRPr="009436D3">
        <w:rPr>
          <w:rFonts w:ascii="Times New Roman" w:hAnsi="Times New Roman" w:cs="Times New Roman"/>
          <w:sz w:val="28"/>
          <w:szCs w:val="28"/>
        </w:rPr>
        <w:t xml:space="preserve"> крапивным, папоротниковым и таволговым, березняком крапивным, осинником кисличным и </w:t>
      </w:r>
      <w:proofErr w:type="spellStart"/>
      <w:r w:rsidRPr="009436D3">
        <w:rPr>
          <w:rFonts w:ascii="Times New Roman" w:hAnsi="Times New Roman" w:cs="Times New Roman"/>
          <w:sz w:val="28"/>
          <w:szCs w:val="28"/>
        </w:rPr>
        <w:t>снытевым</w:t>
      </w:r>
      <w:proofErr w:type="spellEnd"/>
      <w:r w:rsidRPr="009436D3">
        <w:rPr>
          <w:rFonts w:ascii="Times New Roman" w:hAnsi="Times New Roman" w:cs="Times New Roman"/>
          <w:sz w:val="28"/>
          <w:szCs w:val="28"/>
        </w:rPr>
        <w:t>.</w:t>
      </w:r>
    </w:p>
    <w:p w:rsidR="00B4454F" w:rsidRDefault="00B4454F">
      <w:bookmarkStart w:id="0" w:name="_GoBack"/>
      <w:bookmarkEnd w:id="0"/>
    </w:p>
    <w:sectPr w:rsidR="00B4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4EE0"/>
    <w:rsid w:val="00124EE0"/>
    <w:rsid w:val="00B4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A0BDA3-E35E-46F1-8638-6D7543073A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4E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124EE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2025-03-12T11:34:00Z</dcterms:created>
  <dcterms:modified xsi:type="dcterms:W3CDTF">2025-03-12T11:34:00Z</dcterms:modified>
</cp:coreProperties>
</file>