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0" w:rsidRPr="00713F02" w:rsidRDefault="00713F02" w:rsidP="00713F02">
      <w:pPr>
        <w:pStyle w:val="newncpi"/>
        <w:ind w:firstLine="0"/>
        <w:jc w:val="center"/>
        <w:rPr>
          <w:b/>
          <w:color w:val="000000"/>
          <w:sz w:val="32"/>
          <w:szCs w:val="18"/>
        </w:rPr>
      </w:pPr>
      <w:bookmarkStart w:id="0" w:name="_GoBack"/>
      <w:r w:rsidRPr="00713F02">
        <w:rPr>
          <w:b/>
          <w:color w:val="000000"/>
          <w:sz w:val="32"/>
          <w:szCs w:val="18"/>
        </w:rPr>
        <w:t xml:space="preserve">Информация о пустующих домах от </w:t>
      </w:r>
      <w:bookmarkEnd w:id="0"/>
      <w:r w:rsidRPr="00713F02">
        <w:rPr>
          <w:b/>
          <w:color w:val="000000"/>
          <w:sz w:val="32"/>
          <w:szCs w:val="18"/>
        </w:rPr>
        <w:t>12.07.2024</w:t>
      </w:r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64690D" w:rsidRPr="0021240F">
        <w:rPr>
          <w:sz w:val="30"/>
          <w:szCs w:val="30"/>
        </w:rPr>
        <w:t xml:space="preserve"> либо по электронной почте  </w:t>
      </w:r>
      <w:proofErr w:type="spellStart"/>
      <w:r w:rsidR="002C6420" w:rsidRPr="0021240F">
        <w:rPr>
          <w:sz w:val="30"/>
          <w:szCs w:val="30"/>
          <w:lang w:val="en-US"/>
        </w:rPr>
        <w:t>toloch</w:t>
      </w:r>
      <w:proofErr w:type="spellEnd"/>
      <w:r w:rsidR="002C6420" w:rsidRPr="0021240F">
        <w:rPr>
          <w:sz w:val="30"/>
          <w:szCs w:val="30"/>
        </w:rPr>
        <w:t>_</w:t>
      </w:r>
      <w:proofErr w:type="spellStart"/>
      <w:r w:rsidR="002C6420" w:rsidRPr="0021240F">
        <w:rPr>
          <w:sz w:val="30"/>
          <w:szCs w:val="30"/>
          <w:lang w:val="en-US"/>
        </w:rPr>
        <w:t>zkh</w:t>
      </w:r>
      <w:proofErr w:type="spellEnd"/>
      <w:r w:rsidR="002C6420" w:rsidRPr="0021240F">
        <w:rPr>
          <w:sz w:val="30"/>
          <w:szCs w:val="30"/>
        </w:rPr>
        <w:t>@</w:t>
      </w:r>
      <w:proofErr w:type="spellStart"/>
      <w:r w:rsidR="002C6420" w:rsidRPr="0021240F">
        <w:rPr>
          <w:sz w:val="30"/>
          <w:szCs w:val="30"/>
          <w:lang w:val="en-US"/>
        </w:rPr>
        <w:t>vitebsk</w:t>
      </w:r>
      <w:proofErr w:type="spellEnd"/>
      <w:r w:rsidR="002C6420" w:rsidRPr="0021240F">
        <w:rPr>
          <w:sz w:val="30"/>
          <w:szCs w:val="30"/>
        </w:rPr>
        <w:t>.</w:t>
      </w:r>
      <w:r w:rsidR="002C6420" w:rsidRPr="0021240F">
        <w:rPr>
          <w:sz w:val="30"/>
          <w:szCs w:val="30"/>
          <w:lang w:val="en-US"/>
        </w:rPr>
        <w:t>by</w:t>
      </w:r>
      <w:r w:rsidR="0064690D" w:rsidRPr="0021240F">
        <w:rPr>
          <w:sz w:val="30"/>
          <w:szCs w:val="30"/>
        </w:rPr>
        <w:t>, или по факсу 8</w:t>
      </w:r>
      <w:r w:rsidR="0064690D" w:rsidRPr="0021240F">
        <w:rPr>
          <w:sz w:val="30"/>
          <w:szCs w:val="30"/>
          <w:lang w:val="be-BY"/>
        </w:rPr>
        <w:t> </w:t>
      </w:r>
      <w:r w:rsidR="002C6420" w:rsidRPr="0021240F">
        <w:rPr>
          <w:sz w:val="30"/>
          <w:szCs w:val="30"/>
        </w:rPr>
        <w:t>(02136</w:t>
      </w:r>
      <w:r w:rsidR="0064690D" w:rsidRPr="0021240F">
        <w:rPr>
          <w:sz w:val="30"/>
          <w:szCs w:val="30"/>
        </w:rPr>
        <w:t>)</w:t>
      </w:r>
      <w:r w:rsidR="002C6420" w:rsidRPr="0021240F">
        <w:rPr>
          <w:sz w:val="30"/>
          <w:szCs w:val="30"/>
          <w:lang w:val="be-BY"/>
        </w:rPr>
        <w:t> 5 12 32</w:t>
      </w:r>
      <w:r w:rsidRPr="0021240F">
        <w:rPr>
          <w:sz w:val="30"/>
          <w:szCs w:val="30"/>
          <w:lang w:bidi="ru-RU"/>
        </w:rPr>
        <w:t xml:space="preserve">. 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A749C3" w:rsidRPr="00DC1C7A" w:rsidTr="0021240F">
        <w:tc>
          <w:tcPr>
            <w:tcW w:w="170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 w:rsidR="005957F1"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 w:rsidR="00386A6E"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 w:rsidR="00A726E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 w:rsidR="00B83384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371FD" w:rsidRPr="00DC1C7A" w:rsidTr="0021240F">
        <w:trPr>
          <w:trHeight w:val="1793"/>
        </w:trPr>
        <w:tc>
          <w:tcPr>
            <w:tcW w:w="1702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C308C9">
              <w:rPr>
                <w:sz w:val="20"/>
                <w:szCs w:val="20"/>
              </w:rPr>
              <w:t>Калинина</w:t>
            </w:r>
            <w:r>
              <w:rPr>
                <w:sz w:val="20"/>
                <w:szCs w:val="20"/>
              </w:rPr>
              <w:t>,</w:t>
            </w:r>
          </w:p>
          <w:p w:rsidR="007371FD" w:rsidRDefault="00C308C9" w:rsidP="00C308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73</w:t>
            </w:r>
          </w:p>
        </w:tc>
        <w:tc>
          <w:tcPr>
            <w:tcW w:w="1842" w:type="dxa"/>
          </w:tcPr>
          <w:p w:rsidR="007371FD" w:rsidRDefault="00C308C9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Николай Борисович</w:t>
            </w:r>
          </w:p>
        </w:tc>
        <w:tc>
          <w:tcPr>
            <w:tcW w:w="1276" w:type="dxa"/>
          </w:tcPr>
          <w:p w:rsidR="007371FD" w:rsidRPr="00875DAF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 лет</w:t>
            </w:r>
          </w:p>
        </w:tc>
        <w:tc>
          <w:tcPr>
            <w:tcW w:w="2126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E03B7">
              <w:rPr>
                <w:sz w:val="20"/>
                <w:szCs w:val="20"/>
              </w:rPr>
              <w:t>страховые взносы не производились</w:t>
            </w:r>
            <w:r w:rsidR="00C308C9">
              <w:rPr>
                <w:sz w:val="20"/>
                <w:szCs w:val="20"/>
              </w:rPr>
              <w:t>, электроэнергия отсутствует</w:t>
            </w: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71FD" w:rsidRPr="00DE4E50" w:rsidRDefault="00C308C9" w:rsidP="007371F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10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7371FD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8</w:t>
            </w:r>
            <w:r w:rsidR="00E4101E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7</w:t>
            </w:r>
            <w:r w:rsidR="007371FD" w:rsidRPr="00DE4E50">
              <w:rPr>
                <w:sz w:val="20"/>
                <w:szCs w:val="20"/>
              </w:rPr>
              <w:t xml:space="preserve"> м,</w:t>
            </w:r>
          </w:p>
          <w:p w:rsidR="007371FD" w:rsidRDefault="00E4101E" w:rsidP="00C308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08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308C9">
              <w:rPr>
                <w:sz w:val="20"/>
                <w:szCs w:val="20"/>
              </w:rPr>
              <w:t>7</w:t>
            </w:r>
            <w:r w:rsidR="007371FD"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7371FD" w:rsidRDefault="00C308C9" w:rsidP="00E4101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0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7371FD" w:rsidRPr="00DC1C7A" w:rsidRDefault="00EA50CC" w:rsidP="00B50B9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247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13F02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5AE2-3579-41E7-A938-FD269973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2024-07-04T14:20:00Z</cp:lastPrinted>
  <dcterms:created xsi:type="dcterms:W3CDTF">2024-07-15T08:59:00Z</dcterms:created>
  <dcterms:modified xsi:type="dcterms:W3CDTF">2024-07-15T12:11:00Z</dcterms:modified>
</cp:coreProperties>
</file>