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7C" w:rsidRPr="000B277C" w:rsidRDefault="000B277C" w:rsidP="000B277C">
      <w:pPr>
        <w:numPr>
          <w:ilvl w:val="0"/>
          <w:numId w:val="1"/>
        </w:num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Информация для нанимателей</w:t>
      </w:r>
    </w:p>
    <w:p w:rsidR="000B277C" w:rsidRPr="000B277C" w:rsidRDefault="000B277C" w:rsidP="000B277C">
      <w:pPr>
        <w:ind w:left="360"/>
        <w:rPr>
          <w:rFonts w:ascii="Arial" w:eastAsia="Times New Roman" w:hAnsi="Arial" w:cs="Arial"/>
          <w:bCs/>
          <w:color w:val="1B1B1B"/>
          <w:spacing w:val="1"/>
          <w:sz w:val="21"/>
        </w:rPr>
      </w:pPr>
    </w:p>
    <w:p w:rsidR="000B277C" w:rsidRPr="000B277C" w:rsidRDefault="000B277C" w:rsidP="000B277C">
      <w:pPr>
        <w:numPr>
          <w:ilvl w:val="1"/>
          <w:numId w:val="1"/>
        </w:num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 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С 1 января 2025 г. вступил в силу Закон Республики Беларусь от 11 октября 2024 г. № 36-З «Об изменении законов по вопросам занятости населения». Наниматели обязаны размещать сведения о наличии свободных рабочих мест (вакансий) на портале государственной службы занятости gsz.gov.by в течение 5 рабочих дней со дня их образования (статья 35). Наниматели со списочной численностью работников не более 5 человек вправе предоставлять сведения в орган по труду, занятости и социальной защите в письменном виде.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 Размещение сведений о наличии свободных рабочих мест (вакансий), не опубликованных в Общереспубликанском банке вакансий на информационном портале государственной службы занятости, на иных информационных ресурсах запрещается.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Размещение сведений о наличии свободных рабочих мест (вакансий)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занятости.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Соблюдение законодательства о занятости!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В соответствии со статьей 10.11 Кодекса Республики Беларусь об административных правонарушениях от 6 января 2021 года № 91-З не уведомление органов по труду, занятости и социальной защите,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лица, прекращением деятельности индивидуального предпринимателя или сокращением численности (штата) работников либо о наличии свободных рабочих мест (вакансий) – влекут наложение штрафа в размере от пяти до пятнадцати базовых величин.</w:t>
      </w:r>
    </w:p>
    <w:p w:rsidR="000B277C" w:rsidRPr="000B277C" w:rsidRDefault="000B277C" w:rsidP="000B277C">
      <w:pPr>
        <w:rPr>
          <w:rFonts w:ascii="Arial" w:eastAsia="Times New Roman" w:hAnsi="Arial" w:cs="Arial"/>
          <w:bCs/>
          <w:color w:val="1B1B1B"/>
          <w:spacing w:val="1"/>
          <w:sz w:val="21"/>
        </w:rPr>
      </w:pPr>
      <w:r w:rsidRPr="000B277C">
        <w:rPr>
          <w:rFonts w:ascii="Arial" w:eastAsia="Times New Roman" w:hAnsi="Arial" w:cs="Arial"/>
          <w:bCs/>
          <w:color w:val="1B1B1B"/>
          <w:spacing w:val="1"/>
          <w:sz w:val="21"/>
        </w:rPr>
        <w:t>Необоснованный отказ должностного лица в приеме на работу гражданина, направленного управлением по труду, занятости и социальной защите в счет брони, выпускника государственного учреждения профессионально-технического, среднего специального или высшего образования, направленного на работу в соответствии с заявкой этого нанимателя или договором между учреждением образования и этим нанимателем, а равно отказ нанимателя в приеме на работу иного лица, заключение трудового договора с которым является обязательным, влекут наложение штрафа в размере от 20 до 50 базовых величин (часть 1 статьи 10.12. КоАП).</w:t>
      </w:r>
    </w:p>
    <w:p w:rsidR="00994A09" w:rsidRPr="000B277C" w:rsidRDefault="00994A09" w:rsidP="000B277C">
      <w:pPr>
        <w:rPr>
          <w:szCs w:val="32"/>
        </w:rPr>
      </w:pPr>
    </w:p>
    <w:sectPr w:rsidR="00994A09" w:rsidRPr="000B277C" w:rsidSect="0069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1F72"/>
    <w:multiLevelType w:val="multilevel"/>
    <w:tmpl w:val="072E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94A09"/>
    <w:rsid w:val="000B277C"/>
    <w:rsid w:val="000E244F"/>
    <w:rsid w:val="004E5377"/>
    <w:rsid w:val="00633AE8"/>
    <w:rsid w:val="006962E2"/>
    <w:rsid w:val="008E7FB0"/>
    <w:rsid w:val="00994A09"/>
    <w:rsid w:val="00B6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FB0"/>
    <w:rPr>
      <w:b/>
      <w:bCs/>
    </w:rPr>
  </w:style>
  <w:style w:type="character" w:styleId="a5">
    <w:name w:val="Emphasis"/>
    <w:basedOn w:val="a0"/>
    <w:uiPriority w:val="20"/>
    <w:qFormat/>
    <w:rsid w:val="008E7F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2025-02-07T08:15:00Z</cp:lastPrinted>
  <dcterms:created xsi:type="dcterms:W3CDTF">2025-09-18T06:34:00Z</dcterms:created>
  <dcterms:modified xsi:type="dcterms:W3CDTF">2025-09-18T06:34:00Z</dcterms:modified>
</cp:coreProperties>
</file>