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85" w:rsidRDefault="008A3185" w:rsidP="008A3185">
      <w:pPr>
        <w:pStyle w:val="titlep"/>
        <w:spacing w:before="0" w:after="0"/>
        <w:ind w:left="567"/>
        <w:rPr>
          <w:sz w:val="30"/>
          <w:szCs w:val="30"/>
        </w:rPr>
      </w:pPr>
      <w:bookmarkStart w:id="0" w:name="a1"/>
      <w:bookmarkStart w:id="1" w:name="a2"/>
      <w:bookmarkEnd w:id="0"/>
      <w:bookmarkEnd w:id="1"/>
      <w:r>
        <w:rPr>
          <w:sz w:val="30"/>
          <w:szCs w:val="30"/>
        </w:rPr>
        <w:t>ПЕРЕЧЕНЬ</w:t>
      </w:r>
    </w:p>
    <w:p w:rsidR="00360BE6" w:rsidRPr="00E908CF" w:rsidRDefault="00360BE6" w:rsidP="008A3185">
      <w:pPr>
        <w:pStyle w:val="titlep"/>
        <w:spacing w:before="0" w:after="0"/>
        <w:ind w:left="567"/>
        <w:rPr>
          <w:sz w:val="30"/>
          <w:szCs w:val="30"/>
        </w:rPr>
      </w:pPr>
      <w:r w:rsidRPr="00E908CF">
        <w:rPr>
          <w:sz w:val="30"/>
          <w:szCs w:val="30"/>
        </w:rPr>
        <w:t xml:space="preserve">документов и (или) сведений, самостоятельно запрашиваемых </w:t>
      </w:r>
      <w:r w:rsidR="00765A57" w:rsidRPr="00E908CF">
        <w:rPr>
          <w:sz w:val="30"/>
          <w:szCs w:val="30"/>
        </w:rPr>
        <w:t>Славновским</w:t>
      </w:r>
      <w:r w:rsidRPr="00E908CF">
        <w:rPr>
          <w:sz w:val="30"/>
          <w:szCs w:val="30"/>
        </w:rPr>
        <w:t xml:space="preserve"> сельским исполнительным комитетом  при осуществлении административных процедур по заявлениям граждан</w:t>
      </w:r>
    </w:p>
    <w:p w:rsidR="00360BE6" w:rsidRPr="00E908CF" w:rsidRDefault="00360BE6" w:rsidP="00360BE6">
      <w:pPr>
        <w:pStyle w:val="newncpi0"/>
        <w:jc w:val="center"/>
        <w:rPr>
          <w:rStyle w:val="number"/>
          <w:sz w:val="28"/>
          <w:szCs w:val="28"/>
        </w:rPr>
      </w:pPr>
      <w:proofErr w:type="gramStart"/>
      <w:r w:rsidRPr="00E908CF">
        <w:t>(</w:t>
      </w:r>
      <w:r w:rsidRPr="00E908CF">
        <w:rPr>
          <w:sz w:val="28"/>
          <w:szCs w:val="28"/>
        </w:rPr>
        <w:t xml:space="preserve">Постановление Совета Министров Республики Беларусь от </w:t>
      </w:r>
      <w:r w:rsidRPr="00E908CF">
        <w:rPr>
          <w:rStyle w:val="datepr"/>
          <w:sz w:val="28"/>
          <w:szCs w:val="28"/>
        </w:rPr>
        <w:t>18 сентября 2020 г.</w:t>
      </w:r>
      <w:r w:rsidRPr="00E908CF">
        <w:rPr>
          <w:rStyle w:val="number"/>
          <w:sz w:val="28"/>
          <w:szCs w:val="28"/>
        </w:rPr>
        <w:t xml:space="preserve"> № 541</w:t>
      </w:r>
      <w:proofErr w:type="gramEnd"/>
    </w:p>
    <w:p w:rsidR="00360BE6" w:rsidRPr="00E908CF" w:rsidRDefault="00360BE6" w:rsidP="00360BE6">
      <w:pPr>
        <w:pStyle w:val="newncpi0"/>
        <w:jc w:val="center"/>
        <w:rPr>
          <w:sz w:val="28"/>
          <w:szCs w:val="28"/>
        </w:rPr>
      </w:pPr>
      <w:r w:rsidRPr="00E908CF">
        <w:rPr>
          <w:rStyle w:val="number"/>
          <w:sz w:val="28"/>
          <w:szCs w:val="28"/>
        </w:rPr>
        <w:t xml:space="preserve"> </w:t>
      </w:r>
      <w:proofErr w:type="gramStart"/>
      <w:r w:rsidRPr="00E908CF">
        <w:rPr>
          <w:rStyle w:val="number"/>
          <w:sz w:val="28"/>
          <w:szCs w:val="28"/>
        </w:rPr>
        <w:t>«О документах</w:t>
      </w:r>
      <w:r w:rsidRPr="00E908CF">
        <w:rPr>
          <w:sz w:val="28"/>
          <w:szCs w:val="28"/>
        </w:rPr>
        <w:t>, запрашиваемых при осуществлении административных процедур»)</w:t>
      </w:r>
      <w:proofErr w:type="gramEnd"/>
    </w:p>
    <w:p w:rsidR="008A3185" w:rsidRPr="007E05CE" w:rsidRDefault="008A3185" w:rsidP="00360BE6">
      <w:pPr>
        <w:pStyle w:val="newncpi0"/>
        <w:jc w:val="center"/>
        <w:rPr>
          <w:i/>
          <w:sz w:val="28"/>
          <w:szCs w:val="28"/>
        </w:rPr>
      </w:pPr>
    </w:p>
    <w:tbl>
      <w:tblPr>
        <w:tblW w:w="4588" w:type="pct"/>
        <w:tblInd w:w="573" w:type="dxa"/>
        <w:tblCellMar>
          <w:left w:w="0" w:type="dxa"/>
          <w:right w:w="0" w:type="dxa"/>
        </w:tblCellMar>
        <w:tblLook w:val="04A0"/>
      </w:tblPr>
      <w:tblGrid>
        <w:gridCol w:w="6156"/>
        <w:gridCol w:w="1863"/>
        <w:gridCol w:w="6865"/>
      </w:tblGrid>
      <w:tr w:rsidR="00D525A1" w:rsidRPr="00075876" w:rsidTr="00075876">
        <w:trPr>
          <w:trHeight w:val="240"/>
          <w:tblHeader/>
        </w:trPr>
        <w:tc>
          <w:tcPr>
            <w:tcW w:w="20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25A1" w:rsidRPr="00075876" w:rsidRDefault="00D525A1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075876">
              <w:rPr>
                <w:b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25A1" w:rsidRPr="00075876" w:rsidRDefault="00D525A1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075876">
              <w:rPr>
                <w:b/>
                <w:sz w:val="28"/>
                <w:szCs w:val="28"/>
              </w:rPr>
              <w:t>Структурный элемент перечня*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25A1" w:rsidRPr="00075876" w:rsidRDefault="00D525A1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075876">
              <w:rPr>
                <w:b/>
                <w:sz w:val="28"/>
                <w:szCs w:val="28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 </w:t>
            </w:r>
            <w:proofErr w:type="gramStart"/>
            <w:r w:rsidRPr="00075876">
              <w:rPr>
                <w:sz w:val="28"/>
                <w:szCs w:val="28"/>
              </w:rPr>
              <w:t>Принятие решения о разрешении отчуждения жилых помещений, доли (долей) в праве собственности на них, приобретенных с досрочным использованием средств семейного капитала, а также жилых помещений, доли (долей) в праве собственности на них, которые приобретены с использованием кредитов, займов организаций (в том числе на основании договоров о переводе долга, о приеме задолженности по таким кредитам, о рефинансировании таких кредитов), если на</w:t>
            </w:r>
            <w:proofErr w:type="gramEnd"/>
            <w:r w:rsidRPr="00075876">
              <w:rPr>
                <w:sz w:val="28"/>
                <w:szCs w:val="28"/>
              </w:rPr>
              <w:t> возврат (погашение) этих кредитов, займов и уплату процентов за пользование ими досрочно использовались средства семейного капитала, до истечения 5 лет со дня государственной регистрации права собственности на них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подпункт 1.1.2</w:t>
            </w:r>
            <w:r w:rsidRPr="00075876">
              <w:rPr>
                <w:sz w:val="28"/>
                <w:szCs w:val="28"/>
                <w:vertAlign w:val="superscript"/>
              </w:rPr>
              <w:t>2</w:t>
            </w:r>
            <w:r w:rsidRPr="00075876">
              <w:rPr>
                <w:sz w:val="28"/>
                <w:szCs w:val="28"/>
              </w:rPr>
              <w:t xml:space="preserve"> пункта 1.1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 </w:t>
            </w:r>
            <w:proofErr w:type="gramStart"/>
            <w:r w:rsidRPr="00075876">
              <w:rPr>
                <w:sz w:val="28"/>
                <w:szCs w:val="28"/>
              </w:rPr>
              <w:t xml:space="preserve">Принятие решения о принятии на учет (восстановлении на учете) граждан, нуждающихся в улучшении жилищных условий, о внесении изменений в состав семьи, с которым гражданин состоит на учете нуждающихся в улучшении жилищных условий, о включении в отдельные списки учета нуждающихся в улучшении </w:t>
            </w:r>
            <w:r w:rsidRPr="00075876">
              <w:rPr>
                <w:sz w:val="28"/>
                <w:szCs w:val="28"/>
              </w:rPr>
              <w:lastRenderedPageBreak/>
              <w:t>жилищных условий, о разделении (объединении) очереди, о переоформлении очереди с гражданина на совершеннолетнего члена его семьи</w:t>
            </w:r>
            <w:proofErr w:type="gramEnd"/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lastRenderedPageBreak/>
              <w:t xml:space="preserve">подпункт 1.1.5 пункта 1.1 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информация о находящихся в собственности гражданина и членов его </w:t>
            </w:r>
            <w:proofErr w:type="gramStart"/>
            <w:r w:rsidRPr="00075876">
              <w:rPr>
                <w:sz w:val="28"/>
                <w:szCs w:val="28"/>
              </w:rPr>
              <w:t>семьи</w:t>
            </w:r>
            <w:proofErr w:type="gramEnd"/>
            <w:r w:rsidRPr="00075876">
              <w:rPr>
                <w:sz w:val="28"/>
                <w:szCs w:val="28"/>
              </w:rPr>
              <w:t xml:space="preserve"> жилых помещениях в населенном пункте по месту подачи заявления о принятии на учет нуждающихся в улучшении </w:t>
            </w:r>
            <w:r w:rsidRPr="00075876">
              <w:rPr>
                <w:sz w:val="28"/>
                <w:szCs w:val="28"/>
              </w:rPr>
              <w:lastRenderedPageBreak/>
              <w:t xml:space="preserve">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</w:t>
            </w:r>
            <w:proofErr w:type="gramStart"/>
            <w:r w:rsidRPr="00075876">
              <w:rPr>
                <w:sz w:val="28"/>
                <w:szCs w:val="28"/>
              </w:rPr>
              <w:t>Минского района)**</w:t>
            </w:r>
            <w:proofErr w:type="gramEnd"/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состоянии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решение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 подпунктом 1.3 пункта 1 статьи 36 Жилищного кодекса Республики Беларусь (далее – Жилищный кодекс)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копии документа об образовании и трудового договора (контракта) с трудоустроившей организацией – при принятии граждан на учет нуждающихся в улучшении жилищных условий по основанию, предусмотренному пунктом 2 статьи 36 Жилищного кодекса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договор найма жилого помещения – при принятии граждан на учет нуждающихся в улучшении жилищных условий по основаниям, предусмотренным подпунктами 1.4–1.6 пункта 1 статьи 36 Жилищного </w:t>
            </w:r>
            <w:r w:rsidRPr="00075876">
              <w:rPr>
                <w:sz w:val="28"/>
                <w:szCs w:val="28"/>
              </w:rPr>
              <w:lastRenderedPageBreak/>
              <w:t>кодекса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договор финансовой аренды (лизинга) жилого помещения – при принятии граждан на учет нуждающихся в улучшении жилищных условий по основанию, предусмотренному подпунктом 1.5 пункта 1 статьи 36 Жилищного кодекса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жилищных условий по основанию, предусмотренному подпунктом 1.11 пункта 1 статьи 36 Жилищного кодекса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копия трудового договора (контракта) – при принятии граждан на учет нуждающихся в улучшении жилищных условий по основанию, предусмотренному подпунктом 1.4 пункта 1 статьи 36 Жилищного кодекса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proofErr w:type="gramStart"/>
            <w:r w:rsidRPr="00075876">
              <w:rPr>
                <w:sz w:val="28"/>
                <w:szCs w:val="28"/>
              </w:rPr>
              <w:t>документы, удостоверяющие отсутствие попечения родителей, сведения о закреплении жилых помещений за детьми-сиротами и детьми, оставшимися без попечения родителей, а также за лицами из числа детей-сирот и детей, оставшихся без попечения родителей, а также сведения о том, что указанные лица не могут быть вселены в закрепленное жилое помещение, из которого выбыли, и невозможность вселения в это жилое помещение установлена местным исполнительным</w:t>
            </w:r>
            <w:proofErr w:type="gramEnd"/>
            <w:r w:rsidRPr="00075876">
              <w:rPr>
                <w:sz w:val="28"/>
                <w:szCs w:val="28"/>
              </w:rPr>
              <w:t xml:space="preserve"> и распорядительным органом по месту нахождения данного жилого помещения, – при принятии </w:t>
            </w:r>
            <w:r w:rsidRPr="00075876">
              <w:rPr>
                <w:sz w:val="28"/>
                <w:szCs w:val="28"/>
              </w:rPr>
              <w:lastRenderedPageBreak/>
              <w:t>граждан на учет нуждающихся в улучшении жилищных условий по основанию, предусмотренному пунктом 3 статьи 36 Жилищного кодекса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proofErr w:type="gramStart"/>
            <w:r w:rsidRPr="00075876">
              <w:rPr>
                <w:sz w:val="28"/>
                <w:szCs w:val="28"/>
              </w:rPr>
              <w:t>информация о факте заключения (</w:t>
            </w:r>
            <w:proofErr w:type="spellStart"/>
            <w:r w:rsidRPr="00075876">
              <w:rPr>
                <w:sz w:val="28"/>
                <w:szCs w:val="28"/>
              </w:rPr>
              <w:t>незаключения</w:t>
            </w:r>
            <w:proofErr w:type="spellEnd"/>
            <w:r w:rsidRPr="00075876">
              <w:rPr>
                <w:sz w:val="28"/>
                <w:szCs w:val="28"/>
              </w:rPr>
              <w:t>) кредитного договора на получение льготного кредита на строительство (реконструкцию)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строительство (реконструкцию) жилых помещений, субсидии на погашение основного долга по этим кредитам – в отношении гражданина, принимаемого на</w:t>
            </w:r>
            <w:proofErr w:type="gramEnd"/>
            <w:r w:rsidRPr="00075876">
              <w:rPr>
                <w:sz w:val="28"/>
                <w:szCs w:val="28"/>
              </w:rPr>
              <w:t xml:space="preserve"> учет нуждающихся в улучшении жилищных условий, и совершеннолетних членов его семьи при принятии их на такой учет в составе семьи этого гражданина***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proofErr w:type="gramStart"/>
            <w:r w:rsidRPr="00075876">
              <w:rPr>
                <w:sz w:val="28"/>
                <w:szCs w:val="28"/>
              </w:rPr>
              <w:lastRenderedPageBreak/>
              <w:t>Регистрация договоров купли-продажи, мены, дарения находящихся в сельской местности и эксплуатируемых до 8 мая 2003 г. одноквартирного,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них), не зарегистрированных в территориальной организации по государственной регистрации недвижимого имущества, прав на него и сделок с ним</w:t>
            </w:r>
            <w:proofErr w:type="gramEnd"/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пункт 1.9 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сведения об уплате лицом, отчуждающим жилой дом, налогов, сборов (пошлин), связанных с нахождением в собственности жилого дома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Регистрация письменных соглашений о признании членом семьи и письменных соглашений </w:t>
            </w:r>
            <w:r w:rsidRPr="00075876">
              <w:rPr>
                <w:sz w:val="28"/>
                <w:szCs w:val="28"/>
              </w:rPr>
              <w:lastRenderedPageBreak/>
              <w:t>о порядке пользования жилым помещением, а также дополнительных соглашений к ним (расторжения соглашений)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lastRenderedPageBreak/>
              <w:t xml:space="preserve">пункт 1.13 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lastRenderedPageBreak/>
              <w:t>Назначение пособия в связи с рождением ребенка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пункт 2.6 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  <w:p w:rsidR="008A3185" w:rsidRPr="00075876" w:rsidRDefault="008A3185">
            <w:pPr>
              <w:pStyle w:val="table10"/>
              <w:spacing w:before="120"/>
              <w:rPr>
                <w:sz w:val="28"/>
                <w:szCs w:val="28"/>
              </w:rPr>
            </w:pP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Назначение пособия женщинам, ставшим на учет в организациях здравоохранения до 12-недельного срока беременности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пункт 2.8 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 Назначение пособия по уходу за ребенком в возрасте до 3 лет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пункт 2.9 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 Назначение пособия семьям на детей в возрасте от 3 до 18 лет в период воспитания ребенка в возрасте до 3 лет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пункт 2.9</w:t>
            </w:r>
            <w:r w:rsidRPr="00075876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Назначение пособия на детей старше 3 лет из отдельных категорий семей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пункт 2.12 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lastRenderedPageBreak/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proofErr w:type="gramStart"/>
            <w:r w:rsidRPr="00075876">
              <w:rPr>
                <w:sz w:val="28"/>
                <w:szCs w:val="28"/>
              </w:rPr>
              <w:t>справка о размере (неполучении) пособия по уходу за инвалидом I группы либо лицом, достигшим 80-летнего возраста (запрашивается в случае назначения пособия на детей старше 3 лет из отдельных категорий семей в управлении (отделе) по труду, занятости и социальной защите городского, районного исполнительного комитета, управлении (отделе) социальной защиты местной администрации района в городе (далее – орган по труду, занятости и социальной защите</w:t>
            </w:r>
            <w:proofErr w:type="gramEnd"/>
            <w:r w:rsidRPr="00075876">
              <w:rPr>
                <w:sz w:val="28"/>
                <w:szCs w:val="28"/>
              </w:rPr>
              <w:t xml:space="preserve">), – </w:t>
            </w:r>
            <w:proofErr w:type="gramStart"/>
            <w:r w:rsidRPr="00075876">
              <w:rPr>
                <w:sz w:val="28"/>
                <w:szCs w:val="28"/>
              </w:rPr>
              <w:t>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предусмотренное законодательством,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proofErr w:type="gramEnd"/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lastRenderedPageBreak/>
              <w:t>Выплата пособия на погребение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пункт 2.35 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занимаемом в данном населенном пункте жилом помещении, месте жительства и составе семьи на дату смерти (при необходимости)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сведения об отсутствии регистрации в качестве индивидуального предпринимателя, главы крестьянского (фермерского) хозяйства (при необходимости)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справка о периодах уплаты обязательных страховых </w:t>
            </w:r>
            <w:r w:rsidRPr="00075876">
              <w:rPr>
                <w:sz w:val="28"/>
                <w:szCs w:val="28"/>
              </w:rPr>
              <w:lastRenderedPageBreak/>
              <w:t>взносов для назначения пособия на погребение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информация о регистрации гражданина в качестве безработного (при необходимости)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lastRenderedPageBreak/>
              <w:t>Выдача разрешения на удаление или пересадку объектов растительного мира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пункт 16.6 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заключение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организацией в области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автомобильных дорог), выдаваемое организацией государственного дорожного хозяйства, являющейся лицом в области озеленения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железных дорог), выдаваемое организацией железнодорожного транспорта общего пользования, являющейся лицом в области озеленения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lastRenderedPageBreak/>
              <w:t xml:space="preserve">заключение о подтверждении ненадлежащего качественного состояния деревьев, кустарников, выдаваемое лицом в области озеленения, уполномоченным местным исполнительным и распорядительным органом 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lastRenderedPageBreak/>
              <w:t xml:space="preserve">Принятие решения, подтверждающего </w:t>
            </w:r>
            <w:proofErr w:type="spellStart"/>
            <w:r w:rsidRPr="00075876">
              <w:rPr>
                <w:sz w:val="28"/>
                <w:szCs w:val="28"/>
              </w:rPr>
              <w:t>приобретательную</w:t>
            </w:r>
            <w:proofErr w:type="spellEnd"/>
            <w:r w:rsidRPr="00075876">
              <w:rPr>
                <w:sz w:val="28"/>
                <w:szCs w:val="28"/>
              </w:rPr>
              <w:t xml:space="preserve"> давность на недвижимое имущество, сведения о котором отсутствуют в едином государственном регистре недвижимого имущества, прав на него и сделок с ним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пункт 22.8 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newncpi"/>
              <w:ind w:firstLine="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занимаемом в данном населенном пункте жилом помещении, месте жительства и составе семьи – в случае принятия решения в отношении жилого помещения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информация о существующих в момент выдачи информации правах, ограничениях (обременениях) прав на капитальное строение и на земельный участок, на котором это капитальное строение расположено**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Принятие решения о возможности использования эксплуатируемого капитального строения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пункт 22.9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информация о существующих в момент выдачи информации правах, ограничениях (обременениях) прав на земельный участок**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Принятие решения о возможности изменения назначения капитального строения, изолированного помещения, </w:t>
            </w:r>
            <w:proofErr w:type="spellStart"/>
            <w:r w:rsidRPr="00075876">
              <w:rPr>
                <w:sz w:val="28"/>
                <w:szCs w:val="28"/>
              </w:rPr>
              <w:t>машино-места</w:t>
            </w:r>
            <w:proofErr w:type="spellEnd"/>
            <w:r w:rsidRPr="00075876">
              <w:rPr>
                <w:sz w:val="28"/>
                <w:szCs w:val="28"/>
              </w:rPr>
              <w:t xml:space="preserve"> по 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пункт 22.9</w:t>
            </w:r>
            <w:r w:rsidRPr="00075876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proofErr w:type="gramStart"/>
            <w:r w:rsidRPr="00075876">
              <w:rPr>
                <w:sz w:val="28"/>
                <w:szCs w:val="28"/>
              </w:rPr>
              <w:t xml:space="preserve">информация о существующих в момент выдачи информации правах, ограничениях (обременениях) прав на капитальное строение, изолированное помещение, </w:t>
            </w:r>
            <w:proofErr w:type="spellStart"/>
            <w:r w:rsidRPr="00075876">
              <w:rPr>
                <w:sz w:val="28"/>
                <w:szCs w:val="28"/>
              </w:rPr>
              <w:t>машино-место</w:t>
            </w:r>
            <w:proofErr w:type="spellEnd"/>
            <w:r w:rsidRPr="00075876">
              <w:rPr>
                <w:sz w:val="28"/>
                <w:szCs w:val="28"/>
              </w:rPr>
              <w:t xml:space="preserve"> и земельный участок, на котором это капитальное строение, изолированное помещение, </w:t>
            </w:r>
            <w:proofErr w:type="spellStart"/>
            <w:r w:rsidRPr="00075876">
              <w:rPr>
                <w:sz w:val="28"/>
                <w:szCs w:val="28"/>
              </w:rPr>
              <w:t>машино-место</w:t>
            </w:r>
            <w:proofErr w:type="spellEnd"/>
            <w:r w:rsidRPr="00075876">
              <w:rPr>
                <w:sz w:val="28"/>
                <w:szCs w:val="28"/>
              </w:rPr>
              <w:t xml:space="preserve"> расположены**</w:t>
            </w:r>
            <w:proofErr w:type="gramEnd"/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proofErr w:type="gramStart"/>
            <w:r w:rsidRPr="00075876">
              <w:rPr>
                <w:sz w:val="28"/>
                <w:szCs w:val="28"/>
              </w:rPr>
              <w:t xml:space="preserve">Принятие решения об определении назначения капитального строения (здания, сооружения), изолированного помещения, </w:t>
            </w:r>
            <w:proofErr w:type="spellStart"/>
            <w:r w:rsidRPr="00075876">
              <w:rPr>
                <w:sz w:val="28"/>
                <w:szCs w:val="28"/>
              </w:rPr>
              <w:t>машино-места</w:t>
            </w:r>
            <w:proofErr w:type="spellEnd"/>
            <w:r w:rsidRPr="00075876">
              <w:rPr>
                <w:sz w:val="28"/>
                <w:szCs w:val="28"/>
              </w:rPr>
              <w:t xml:space="preserve"> в соответствии с единой классификацией </w:t>
            </w:r>
            <w:r w:rsidRPr="00075876">
              <w:rPr>
                <w:sz w:val="28"/>
                <w:szCs w:val="28"/>
              </w:rPr>
              <w:lastRenderedPageBreak/>
              <w:t xml:space="preserve">назначения объектов недвижимого имущества (за 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075876">
              <w:rPr>
                <w:sz w:val="28"/>
                <w:szCs w:val="28"/>
              </w:rPr>
              <w:t>машино-мест</w:t>
            </w:r>
            <w:proofErr w:type="spellEnd"/>
            <w:proofErr w:type="gramEnd"/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lastRenderedPageBreak/>
              <w:t>пункт 22.9</w:t>
            </w:r>
            <w:r w:rsidRPr="00075876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информация о существующих в момент выдачи информации правах, ограничениях (обременениях) прав на земельный участок**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lastRenderedPageBreak/>
              <w:t xml:space="preserve">Принятие решения о возможности использования капитального строения, изолированного помещения или </w:t>
            </w:r>
            <w:proofErr w:type="spellStart"/>
            <w:r w:rsidRPr="00075876">
              <w:rPr>
                <w:sz w:val="28"/>
                <w:szCs w:val="28"/>
              </w:rPr>
              <w:t>машино-места</w:t>
            </w:r>
            <w:proofErr w:type="spellEnd"/>
            <w:r w:rsidRPr="00075876">
              <w:rPr>
                <w:sz w:val="28"/>
                <w:szCs w:val="28"/>
              </w:rPr>
              <w:t>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пункт 22.9</w:t>
            </w:r>
            <w:r w:rsidRPr="0007587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proofErr w:type="gramStart"/>
            <w:r w:rsidRPr="00075876">
              <w:rPr>
                <w:sz w:val="28"/>
                <w:szCs w:val="28"/>
              </w:rPr>
              <w:t xml:space="preserve">информация о существующих в момент выдачи информации правах, ограничениях (обременениях) прав на капитальное строение, изолированное помещение, </w:t>
            </w:r>
            <w:proofErr w:type="spellStart"/>
            <w:r w:rsidRPr="00075876">
              <w:rPr>
                <w:sz w:val="28"/>
                <w:szCs w:val="28"/>
              </w:rPr>
              <w:t>машино-место</w:t>
            </w:r>
            <w:proofErr w:type="spellEnd"/>
            <w:r w:rsidRPr="00075876">
              <w:rPr>
                <w:sz w:val="28"/>
                <w:szCs w:val="28"/>
              </w:rPr>
              <w:t xml:space="preserve">, часть которого погибла, и земельный участок, на котором это капитальное строение, изолированное помещение, </w:t>
            </w:r>
            <w:proofErr w:type="spellStart"/>
            <w:r w:rsidRPr="00075876">
              <w:rPr>
                <w:sz w:val="28"/>
                <w:szCs w:val="28"/>
              </w:rPr>
              <w:t>машино-место</w:t>
            </w:r>
            <w:proofErr w:type="spellEnd"/>
            <w:r w:rsidRPr="00075876">
              <w:rPr>
                <w:sz w:val="28"/>
                <w:szCs w:val="28"/>
              </w:rPr>
              <w:t>, часть которого погибла, расположены**</w:t>
            </w:r>
            <w:proofErr w:type="gramEnd"/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proofErr w:type="gramStart"/>
            <w:r w:rsidRPr="00075876">
              <w:rPr>
                <w:sz w:val="28"/>
                <w:szCs w:val="28"/>
              </w:rPr>
              <w:t>Выдача справки, подтверждающей возведение до 8 мая 2003 г. жилого дома (жилого изолированного помещения, иного строения), расположенного в городе или в сельском населенном пункте на предоставленном наследодателю в установленном порядке земельном участке, который при жизни наследодателя не был зарегистрирован в территориальной организации по государственной регистрации и не внесен в </w:t>
            </w:r>
            <w:proofErr w:type="spellStart"/>
            <w:r w:rsidRPr="00075876">
              <w:rPr>
                <w:sz w:val="28"/>
                <w:szCs w:val="28"/>
              </w:rPr>
              <w:t>похозяйственную</w:t>
            </w:r>
            <w:proofErr w:type="spellEnd"/>
            <w:r w:rsidRPr="00075876">
              <w:rPr>
                <w:sz w:val="28"/>
                <w:szCs w:val="28"/>
              </w:rPr>
              <w:t xml:space="preserve"> книгу сельского (поселкового) исполнительного и распорядительного органа, с указанием его</w:t>
            </w:r>
            <w:proofErr w:type="gramEnd"/>
            <w:r w:rsidRPr="00075876">
              <w:rPr>
                <w:sz w:val="28"/>
                <w:szCs w:val="28"/>
              </w:rPr>
              <w:t xml:space="preserve"> фамилии, собственного имени, отчества, а также соответствие этого строения противопожарным, санитарным, экологическим, строительным и иным требованиям к недвижимому имуществу, установленным законодательством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пункт 22.24 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последнем месте жительства наследодателя и о составе его семьи на день смерти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сведения из инспекции природных ресурсов и охраны окружающей среды, зонального центра гигиены и эпидемиологии, территориального органа (подразделения) по чрезвычайным ситуациям, других организаций о соответствии этого строения противопожарным, санитарным, экологическим, строительным и иным требованиям к недвижимому имуществу, установленным законодательством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 w:rsidP="008A3185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lastRenderedPageBreak/>
              <w:t>Выдача справки, подтверждающей внесение в </w:t>
            </w:r>
            <w:proofErr w:type="spellStart"/>
            <w:r w:rsidRPr="00075876">
              <w:rPr>
                <w:sz w:val="28"/>
                <w:szCs w:val="28"/>
              </w:rPr>
              <w:t>похозяйственную</w:t>
            </w:r>
            <w:proofErr w:type="spellEnd"/>
            <w:r w:rsidRPr="00075876">
              <w:rPr>
                <w:sz w:val="28"/>
                <w:szCs w:val="28"/>
              </w:rPr>
      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      </w:r>
          </w:p>
        </w:tc>
        <w:tc>
          <w:tcPr>
            <w:tcW w:w="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пункт 22.24</w:t>
            </w:r>
            <w:r w:rsidRPr="00075876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      </w:r>
          </w:p>
        </w:tc>
      </w:tr>
      <w:tr w:rsidR="00D525A1" w:rsidRPr="00075876" w:rsidTr="008A3185">
        <w:trPr>
          <w:trHeight w:val="240"/>
        </w:trPr>
        <w:tc>
          <w:tcPr>
            <w:tcW w:w="209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proofErr w:type="gramStart"/>
            <w:r w:rsidRPr="00075876">
              <w:rPr>
                <w:sz w:val="28"/>
                <w:szCs w:val="28"/>
              </w:rPr>
      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 и возведенных на земельном участке, предоставленном гражданину в соответствии с законодательством об охране и использовании земель (если такие дом, квартира не внесены в </w:t>
            </w:r>
            <w:proofErr w:type="spellStart"/>
            <w:r w:rsidRPr="00075876">
              <w:rPr>
                <w:sz w:val="28"/>
                <w:szCs w:val="28"/>
              </w:rPr>
              <w:t>похозяйственную</w:t>
            </w:r>
            <w:proofErr w:type="spellEnd"/>
            <w:r w:rsidRPr="00075876">
              <w:rPr>
                <w:sz w:val="28"/>
                <w:szCs w:val="28"/>
              </w:rPr>
              <w:t xml:space="preserve"> книгу сельского (поселкового) исполнительного комитета)</w:t>
            </w:r>
            <w:proofErr w:type="gramEnd"/>
          </w:p>
        </w:tc>
        <w:tc>
          <w:tcPr>
            <w:tcW w:w="57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пункт 22.24</w:t>
            </w:r>
            <w:r w:rsidRPr="00075876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D525A1" w:rsidRPr="00075876" w:rsidRDefault="00D525A1">
            <w:pPr>
              <w:pStyle w:val="table10"/>
              <w:spacing w:before="120"/>
              <w:rPr>
                <w:sz w:val="28"/>
                <w:szCs w:val="28"/>
              </w:rPr>
            </w:pPr>
            <w:r w:rsidRPr="00075876">
              <w:rPr>
                <w:sz w:val="28"/>
                <w:szCs w:val="28"/>
              </w:rPr>
              <w:t xml:space="preserve"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 </w:t>
            </w:r>
          </w:p>
        </w:tc>
      </w:tr>
    </w:tbl>
    <w:p w:rsidR="00D525A1" w:rsidRPr="00075876" w:rsidRDefault="00D525A1">
      <w:pPr>
        <w:pStyle w:val="newncpi"/>
        <w:rPr>
          <w:sz w:val="28"/>
          <w:szCs w:val="28"/>
        </w:rPr>
      </w:pPr>
      <w:r w:rsidRPr="00075876">
        <w:rPr>
          <w:sz w:val="28"/>
          <w:szCs w:val="28"/>
        </w:rPr>
        <w:t> </w:t>
      </w:r>
    </w:p>
    <w:p w:rsidR="00D525A1" w:rsidRDefault="00D525A1">
      <w:pPr>
        <w:pStyle w:val="snoskiline"/>
      </w:pPr>
      <w:r>
        <w:t>______________________________</w:t>
      </w:r>
    </w:p>
    <w:p w:rsidR="00D525A1" w:rsidRDefault="00D525A1">
      <w:pPr>
        <w:pStyle w:val="snoski"/>
      </w:pPr>
      <w:r>
        <w:t>* Перечень 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200.</w:t>
      </w:r>
    </w:p>
    <w:p w:rsidR="00D525A1" w:rsidRDefault="00D525A1">
      <w:pPr>
        <w:pStyle w:val="snoski"/>
      </w:pPr>
      <w:r>
        <w:t>** Соответствующая информация получается уполномоченным органом из единого государственного регистра недвижимого имущества, прав на него и сделок с ним посредством общегосударственной автоматизированной информационной системы в форме информационного сообщения.</w:t>
      </w:r>
    </w:p>
    <w:p w:rsidR="00D525A1" w:rsidRDefault="00D525A1">
      <w:pPr>
        <w:pStyle w:val="snoski"/>
        <w:spacing w:after="240"/>
      </w:pPr>
      <w:proofErr w:type="gramStart"/>
      <w:r>
        <w:t>***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  <w:proofErr w:type="gramEnd"/>
    </w:p>
    <w:p w:rsidR="00D525A1" w:rsidRDefault="00D525A1">
      <w:pPr>
        <w:pStyle w:val="newncpi"/>
      </w:pPr>
      <w:r>
        <w:t> </w:t>
      </w:r>
    </w:p>
    <w:p w:rsidR="00791E2A" w:rsidRDefault="00791E2A"/>
    <w:sectPr w:rsidR="00791E2A" w:rsidSect="005A1020">
      <w:pgSz w:w="16838" w:h="11906" w:orient="landscape"/>
      <w:pgMar w:top="567" w:right="289" w:bottom="567" w:left="34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5A1"/>
    <w:rsid w:val="0002025C"/>
    <w:rsid w:val="00075876"/>
    <w:rsid w:val="00082DF5"/>
    <w:rsid w:val="000F2F4A"/>
    <w:rsid w:val="0010291E"/>
    <w:rsid w:val="003226C7"/>
    <w:rsid w:val="00360BE6"/>
    <w:rsid w:val="00464BC5"/>
    <w:rsid w:val="004A562D"/>
    <w:rsid w:val="005A1020"/>
    <w:rsid w:val="00684B54"/>
    <w:rsid w:val="007043AF"/>
    <w:rsid w:val="00765A57"/>
    <w:rsid w:val="00791E2A"/>
    <w:rsid w:val="008A3185"/>
    <w:rsid w:val="008A6D79"/>
    <w:rsid w:val="008F213F"/>
    <w:rsid w:val="009824F6"/>
    <w:rsid w:val="00A76F33"/>
    <w:rsid w:val="00B4042B"/>
    <w:rsid w:val="00C37DE5"/>
    <w:rsid w:val="00C464E0"/>
    <w:rsid w:val="00C66B7E"/>
    <w:rsid w:val="00CC1EFE"/>
    <w:rsid w:val="00CE0F73"/>
    <w:rsid w:val="00D0753B"/>
    <w:rsid w:val="00D525A1"/>
    <w:rsid w:val="00E521F0"/>
    <w:rsid w:val="00E62A02"/>
    <w:rsid w:val="00E908CF"/>
    <w:rsid w:val="00EB1B3F"/>
    <w:rsid w:val="00EE11F0"/>
    <w:rsid w:val="00F71216"/>
    <w:rsid w:val="00F81E00"/>
    <w:rsid w:val="00FE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525A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525A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525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525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525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525A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525A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525A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525A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525A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525A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525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525A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525A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525A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525A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525A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525A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525A1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0E64-8338-4ECF-B94C-57825B4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2457</Words>
  <Characters>14007</Characters>
  <Application>Microsoft Office Word</Application>
  <DocSecurity>0</DocSecurity>
  <Lines>116</Lines>
  <Paragraphs>32</Paragraphs>
  <ScaleCrop>false</ScaleCrop>
  <Company>Grizli777</Company>
  <LinksUpToDate>false</LinksUpToDate>
  <CharactersWithSpaces>16432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</cp:lastModifiedBy>
  <cp:revision>15</cp:revision>
  <cp:lastPrinted>2025-03-05T15:16:00Z</cp:lastPrinted>
  <dcterms:created xsi:type="dcterms:W3CDTF">2025-03-05T13:25:00Z</dcterms:created>
  <dcterms:modified xsi:type="dcterms:W3CDTF">2026-02-09T10:33:00Z</dcterms:modified>
</cp:coreProperties>
</file>