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P="007A3F16" w:rsidR="000B0988" w:rsidRDefault="007A3F16">
      <w:pPr>
        <w:jc w:val="both"/>
        <w:rPr>
          <w:rFonts w:ascii="Times New Roman" w:cs="Times New Roman" w:hAnsi="Times New Roman"/>
          <w:color w:val="000000"/>
          <w:sz w:val="24"/>
          <w:szCs w:val="23"/>
          <w:shd w:color="auto" w:fill="FFFFFF" w:val="clear"/>
        </w:rPr>
      </w:pPr>
      <w:proofErr w:type="spellStart"/>
      <w:r w:rsidRPr="007A3F16">
        <w:rPr>
          <w:rStyle w:val="a3"/>
          <w:rFonts w:ascii="Times New Roman" w:cs="Times New Roman" w:hAnsi="Times New Roman"/>
          <w:color w:val="000000"/>
          <w:sz w:val="24"/>
          <w:szCs w:val="23"/>
          <w:bdr w:color="auto" w:frame="1" w:space="0" w:sz="0" w:val="none"/>
          <w:shd w:color="auto" w:fill="FFFFFF" w:val="clear"/>
        </w:rPr>
        <w:t>Киберпреступления</w:t>
      </w:r>
      <w:proofErr w:type="spellEnd"/>
      <w:r w:rsidRPr="007A3F16">
        <w:rPr>
          <w:rStyle w:val="a4"/>
          <w:rFonts w:ascii="Times New Roman" w:cs="Times New Roman" w:hAnsi="Times New Roman"/>
          <w:color w:val="000000"/>
          <w:sz w:val="24"/>
          <w:szCs w:val="23"/>
          <w:bdr w:color="auto" w:frame="1" w:space="0" w:sz="0" w:val="none"/>
          <w:shd w:color="auto" w:fill="FFFFFF" w:val="clear"/>
        </w:rPr>
        <w:t> – </w:t>
      </w:r>
      <w:r w:rsidRPr="007A3F16">
        <w:rPr>
          <w:rFonts w:ascii="Times New Roman" w:cs="Times New Roman" w:hAnsi="Times New Roman"/>
          <w:color w:val="000000"/>
          <w:sz w:val="24"/>
          <w:szCs w:val="23"/>
          <w:shd w:color="auto" w:fill="FFFFFF" w:val="clear"/>
        </w:rPr>
        <w:t>преступления, связанные с использованием компьютерной техники (преступления против информационной безопасности, хищения путем использования средств компьютерной техники, шантаж, вымогательство, изготовление и распространение порнографических материалов и т.д.).</w:t>
      </w:r>
    </w:p>
    <w:p w:rsidP="007A3F16" w:rsidR="007A3F16" w:rsidRDefault="007A3F16">
      <w:pPr>
        <w:jc w:val="both"/>
        <w:rPr>
          <w:rFonts w:ascii="Times New Roman" w:cs="Times New Roman" w:hAnsi="Times New Roman"/>
          <w:color w:val="000000"/>
          <w:sz w:val="24"/>
          <w:szCs w:val="23"/>
          <w:shd w:color="auto" w:fill="FFFFFF" w:val="clear"/>
        </w:rPr>
      </w:pPr>
      <w:r>
        <w:rPr>
          <w:rFonts w:ascii="Times New Roman" w:cs="Times New Roman" w:hAnsi="Times New Roman"/>
          <w:noProof/>
          <w:color w:val="000000"/>
          <w:sz w:val="24"/>
          <w:szCs w:val="23"/>
          <w:shd w:color="auto" w:fill="FFFFFF" w:val="clear"/>
          <w:lang w:eastAsia="ru-RU"/>
        </w:rPr>
        <w:drawing>
          <wp:inline distB="0" distL="0" distR="0" distT="0">
            <wp:extent cx="3467100" cy="4876800"/>
            <wp:effectExtent b="0" l="0" r="0" t="0"/>
            <wp:docPr descr="C:\Users\Елена\Desktop\unnamed.jpg"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Елена\Desktop\unnamed.jpg" id="0" name="Picture 3"/>
                    <pic:cNvPicPr>
                      <a:picLocks noChangeArrowheads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7A3F16" w:rsidR="007A3F16" w:rsidRDefault="007A3F16">
      <w:pPr>
        <w:jc w:val="both"/>
        <w:rPr>
          <w:rFonts w:ascii="Times New Roman" w:cs="Times New Roman" w:hAnsi="Times New Roman"/>
          <w:color w:val="000000"/>
          <w:sz w:val="24"/>
          <w:szCs w:val="23"/>
          <w:shd w:color="auto" w:fill="FFFFFF" w:val="clear"/>
        </w:rPr>
      </w:pPr>
      <w:r>
        <w:rPr>
          <w:rFonts w:ascii="Times New Roman" w:cs="Times New Roman" w:hAnsi="Times New Roman"/>
          <w:noProof/>
          <w:color w:val="000000"/>
          <w:sz w:val="24"/>
          <w:szCs w:val="23"/>
          <w:shd w:color="auto" w:fill="FFFFFF" w:val="clear"/>
          <w:lang w:eastAsia="ru-RU"/>
        </w:rPr>
        <w:drawing>
          <wp:inline distB="0" distL="0" distR="0" distT="0" wp14:anchorId="440C23AF" wp14:editId="20C1D608">
            <wp:extent cx="3076575" cy="4294816"/>
            <wp:effectExtent b="0" l="0" r="0" t="0"/>
            <wp:docPr descr="C:\Users\Елена\Desktop\babushka-jpg-2025-05-2.jpg"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Елена\Desktop\babushka-jpg-2025-05-2.jpg" id="0" name="Picture 4"/>
                    <pic:cNvPicPr>
                      <a:picLocks noChangeArrowheads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953" cy="430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7A3F16" w:rsidR="007A3F16" w:rsidRDefault="007A3F16">
      <w:pPr>
        <w:jc w:val="both"/>
        <w:rPr>
          <w:rFonts w:ascii="Times New Roman" w:cs="Times New Roman" w:hAnsi="Times New Roman"/>
          <w:color w:val="000000"/>
          <w:sz w:val="24"/>
          <w:szCs w:val="23"/>
          <w:shd w:color="auto" w:fill="FFFFFF" w:val="clear"/>
        </w:rPr>
      </w:pPr>
      <w:r>
        <w:rPr>
          <w:rFonts w:ascii="Times New Roman" w:cs="Times New Roman" w:hAnsi="Times New Roman"/>
          <w:noProof/>
          <w:color w:val="000000"/>
          <w:sz w:val="24"/>
          <w:szCs w:val="23"/>
          <w:shd w:color="auto" w:fill="FFFFFF" w:val="clear"/>
          <w:lang w:eastAsia="ru-RU"/>
        </w:rPr>
        <w:lastRenderedPageBreak/>
        <w:drawing>
          <wp:inline distB="0" distL="0" distR="0" distT="0">
            <wp:extent cx="6743700" cy="5057775"/>
            <wp:effectExtent b="9525" l="0" r="0" t="0"/>
            <wp:docPr descr="C:\Users\Елена\Desktop\kiber-768x576.png"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Елена\Desktop\kiber-768x576.png" id="0" name="Picture 5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7A3F16" w:rsidR="007A3F16" w:rsidRDefault="007A3F16" w:rsidRPr="007A3F16">
      <w:pPr>
        <w:shd w:color="auto" w:fill="FFFFFF" w:val="clear"/>
        <w:spacing w:after="210" w:line="240" w:lineRule="auto"/>
        <w:textAlignment w:val="baseline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 w:rsidRPr="007A3F16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Основные понятия, которые относятся к теме безопасного поведения в сети интернет и описывают виды </w:t>
      </w:r>
      <w:proofErr w:type="spellStart"/>
      <w:r w:rsidRPr="007A3F16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киберпреступлений</w:t>
      </w:r>
      <w:proofErr w:type="spellEnd"/>
      <w:r w:rsidRPr="007A3F16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P="007A3F16" w:rsidR="007A3F16" w:rsidRDefault="007A3F16" w:rsidRPr="007A3F16">
      <w:pPr>
        <w:shd w:color="auto" w:fill="FFFFFF" w:val="clear"/>
        <w:spacing w:after="0" w:line="240" w:lineRule="auto"/>
        <w:textAlignment w:val="baseline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3F16"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bdr w:color="auto" w:frame="1" w:space="0" w:sz="0" w:val="none"/>
          <w:lang w:eastAsia="ru-RU"/>
        </w:rPr>
        <w:t>Фишинг</w:t>
      </w:r>
      <w:proofErr w:type="spellEnd"/>
      <w:r w:rsidRPr="007A3F16"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bdr w:color="auto" w:frame="1" w:space="0" w:sz="0" w:val="none"/>
          <w:lang w:eastAsia="ru-RU"/>
        </w:rPr>
        <w:t> </w:t>
      </w:r>
      <w:r w:rsidRPr="007A3F16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7A3F16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phishing</w:t>
      </w:r>
      <w:proofErr w:type="spellEnd"/>
      <w:r w:rsidRPr="007A3F16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7A3F16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fishing</w:t>
      </w:r>
      <w:proofErr w:type="spellEnd"/>
      <w:r w:rsidRPr="007A3F16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«рыбная ловля, выуживание») – вид мошенничества, цель которого является получение конфиденциальных данных для доступа к различным сервисам (электронной почте, странице в социальной сети, интернет-банкингу и т.д.). </w:t>
      </w:r>
    </w:p>
    <w:p w:rsidP="007A3F16" w:rsidR="007A3F16" w:rsidRDefault="007A3F16">
      <w:pPr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7A3F16">
        <w:rPr>
          <w:rFonts w:ascii="Times New Roman" w:cs="Times New Roman" w:eastAsia="Times New Roman" w:hAnsi="Times New Roman"/>
          <w:sz w:val="28"/>
          <w:szCs w:val="28"/>
          <w:lang w:eastAsia="ru-RU"/>
        </w:rPr>
        <w:fldChar w:fldCharType="begin"/>
      </w:r>
      <w:r w:rsidRPr="007A3F16">
        <w:rPr>
          <w:rFonts w:ascii="Times New Roman" w:cs="Times New Roman" w:eastAsia="Times New Roman" w:hAnsi="Times New Roman"/>
          <w:sz w:val="28"/>
          <w:szCs w:val="28"/>
          <w:lang w:eastAsia="ru-RU"/>
        </w:rPr>
        <w:instrText xml:space="preserve"> INCLUDEPICTURE "https://ushachi-tcson.by/files/00213/obj/140/91093/img/%D0%B8%D0%B7%D0%BE%D0%B1%D1%80%D0%B0%D0%B6%D0%B5%D0%BD%D0%B8%D0%B5_2022-10-20_111247341.png" \* MERGEFORMATINET </w:instrText>
      </w:r>
      <w:r w:rsidRPr="007A3F16">
        <w:rPr>
          <w:rFonts w:ascii="Times New Roman" w:cs="Times New Roman" w:eastAsia="Times New Roman" w:hAnsi="Times New Roman"/>
          <w:sz w:val="28"/>
          <w:szCs w:val="28"/>
          <w:lang w:eastAsia="ru-RU"/>
        </w:rPr>
        <w:fldChar w:fldCharType="separate"/>
      </w:r>
      <w:r w:rsidRPr="007A3F16">
        <w:rPr>
          <w:rFonts w:ascii="Times New Roman" w:cs="Times New Roman" w:eastAsia="Times New Roman" w:hAnsi="Times New Roman"/>
          <w:sz w:val="28"/>
          <w:szCs w:val="28"/>
          <w:lang w:eastAsia="ru-RU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" id="_x0000_i1025" style="width:24pt;height:24pt" type="#_x0000_t75"/>
        </w:pict>
      </w:r>
      <w:r w:rsidRPr="007A3F16">
        <w:rPr>
          <w:rFonts w:ascii="Times New Roman" w:cs="Times New Roman" w:eastAsia="Times New Roman" w:hAnsi="Times New Roman"/>
          <w:sz w:val="28"/>
          <w:szCs w:val="28"/>
          <w:lang w:eastAsia="ru-RU"/>
        </w:rPr>
        <w:fldChar w:fldCharType="end"/>
      </w:r>
      <w:r>
        <w:rPr>
          <w:rFonts w:ascii="Times New Roman" w:cs="Times New Roman" w:eastAsia="Times New Roman" w:hAnsi="Times New Roman"/>
          <w:noProof/>
          <w:sz w:val="28"/>
          <w:szCs w:val="28"/>
          <w:lang w:eastAsia="ru-RU"/>
        </w:rPr>
        <w:drawing>
          <wp:inline distB="0" distL="0" distR="0" distT="0">
            <wp:extent cx="3000375" cy="2857500"/>
            <wp:effectExtent b="0" l="0" r="9525" t="0"/>
            <wp:docPr descr="C:\Users\Елена\Desktop\изображение_2022-10-20_111247341.png"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Елена\Desktop\изображение_2022-10-20_111247341.png" id="0" name="Picture 10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proofErr w:type="spellStart"/>
      <w:r w:rsidRPr="007A3F16">
        <w:rPr>
          <w:rStyle w:val="a3"/>
          <w:color w:val="000000"/>
          <w:szCs w:val="23"/>
          <w:bdr w:color="auto" w:frame="1" w:space="0" w:sz="0" w:val="none"/>
        </w:rPr>
        <w:t>Вишинг</w:t>
      </w:r>
      <w:proofErr w:type="spellEnd"/>
      <w:r w:rsidRPr="007A3F16">
        <w:rPr>
          <w:color w:val="000000"/>
          <w:szCs w:val="23"/>
        </w:rPr>
        <w:t xml:space="preserve"> (англ. </w:t>
      </w:r>
      <w:proofErr w:type="spellStart"/>
      <w:r w:rsidRPr="007A3F16">
        <w:rPr>
          <w:color w:val="000000"/>
          <w:szCs w:val="23"/>
        </w:rPr>
        <w:t>vishing</w:t>
      </w:r>
      <w:proofErr w:type="spellEnd"/>
      <w:r w:rsidRPr="007A3F16">
        <w:rPr>
          <w:color w:val="000000"/>
          <w:szCs w:val="23"/>
        </w:rPr>
        <w:t xml:space="preserve"> – </w:t>
      </w:r>
      <w:proofErr w:type="spellStart"/>
      <w:r w:rsidRPr="007A3F16">
        <w:rPr>
          <w:color w:val="000000"/>
          <w:szCs w:val="23"/>
        </w:rPr>
        <w:t>voice</w:t>
      </w:r>
      <w:proofErr w:type="spellEnd"/>
      <w:r w:rsidRPr="007A3F16">
        <w:rPr>
          <w:color w:val="000000"/>
          <w:szCs w:val="23"/>
        </w:rPr>
        <w:t xml:space="preserve"> + </w:t>
      </w:r>
      <w:proofErr w:type="spellStart"/>
      <w:r w:rsidRPr="007A3F16">
        <w:rPr>
          <w:color w:val="000000"/>
          <w:szCs w:val="23"/>
        </w:rPr>
        <w:t>phishing</w:t>
      </w:r>
      <w:proofErr w:type="spellEnd"/>
      <w:r w:rsidRPr="007A3F16">
        <w:rPr>
          <w:color w:val="000000"/>
          <w:szCs w:val="23"/>
        </w:rPr>
        <w:t xml:space="preserve">) – это устная разновидность </w:t>
      </w:r>
      <w:proofErr w:type="spellStart"/>
      <w:r w:rsidRPr="007A3F16">
        <w:rPr>
          <w:color w:val="000000"/>
          <w:szCs w:val="23"/>
        </w:rPr>
        <w:t>фишинга</w:t>
      </w:r>
      <w:proofErr w:type="spellEnd"/>
      <w:r w:rsidRPr="007A3F16">
        <w:rPr>
          <w:color w:val="000000"/>
          <w:szCs w:val="23"/>
        </w:rPr>
        <w:t xml:space="preserve">, при которой злоумышленники посредством телефонной связи, используя приемы, методы и технологии социальной инженерии, под разными предлогами, искусно играя определенную роль (как правило, сотрудника банка, технического специалиста и т.д.), вынуждают человека сообщить им свои конфиденциальные </w:t>
      </w:r>
      <w:r w:rsidRPr="007A3F16">
        <w:rPr>
          <w:color w:val="000000"/>
          <w:szCs w:val="23"/>
        </w:rPr>
        <w:lastRenderedPageBreak/>
        <w:t>банковские или персональные данные либо стимулируют к совершению определенных действий со своим банковским счетом или банковской картой. </w:t>
      </w:r>
    </w:p>
    <w:p w:rsidP="007A3F16" w:rsidR="007A3F16" w:rsidRDefault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r w:rsidRPr="007A3F16">
        <w:rPr>
          <w:rStyle w:val="a3"/>
          <w:color w:val="000000"/>
          <w:szCs w:val="23"/>
          <w:bdr w:color="auto" w:frame="1" w:space="0" w:sz="0" w:val="none"/>
        </w:rPr>
        <w:t>Информационная безопасность</w:t>
      </w:r>
      <w:r w:rsidRPr="007A3F16">
        <w:rPr>
          <w:color w:val="000000"/>
          <w:szCs w:val="23"/>
        </w:rPr>
        <w:t> – состояние защищенности сбалансированных интересов личности, общества и государства от внешних и внутренних угроз в информационной сфере. </w:t>
      </w:r>
    </w:p>
    <w:p w:rsidP="007A3F16" w:rsidR="007A3F16" w:rsidRDefault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r>
        <w:rPr>
          <w:noProof/>
          <w:color w:val="000000"/>
          <w:szCs w:val="23"/>
        </w:rPr>
        <w:drawing>
          <wp:inline distB="0" distL="0" distR="0" distT="0">
            <wp:extent cx="3000375" cy="2857500"/>
            <wp:effectExtent b="0" l="0" r="9525" t="0"/>
            <wp:docPr descr="C:\Users\Елена\Desktop\изображение_2022-10-20_111357861.png"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Елена\Desktop\изображение_2022-10-20_111357861.png" id="0" name="Picture 11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proofErr w:type="spellStart"/>
      <w:r w:rsidRPr="007A3F16">
        <w:rPr>
          <w:rStyle w:val="a3"/>
          <w:color w:val="000000"/>
          <w:szCs w:val="23"/>
          <w:bdr w:color="auto" w:frame="1" w:space="0" w:sz="0" w:val="none"/>
        </w:rPr>
        <w:t>Кибератака</w:t>
      </w:r>
      <w:proofErr w:type="spellEnd"/>
      <w:r w:rsidRPr="007A3F16">
        <w:rPr>
          <w:color w:val="000000"/>
          <w:szCs w:val="23"/>
        </w:rPr>
        <w:t> – целенаправленное воздействие программных и (или) программно-аппаратных средств на объекты информационной инфраструктуры, сети электросвязи, используемые для организации взаимодействия таких объектов, в целях нарушения и (или) прекращения их функционирования и (или) создания угрозы безопасности обрабатываемой такими объектами информации.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proofErr w:type="spellStart"/>
      <w:r w:rsidRPr="007A3F16">
        <w:rPr>
          <w:rStyle w:val="a3"/>
          <w:color w:val="000000"/>
          <w:szCs w:val="23"/>
          <w:bdr w:color="auto" w:frame="1" w:space="0" w:sz="0" w:val="none"/>
        </w:rPr>
        <w:t>Кибербезопасность</w:t>
      </w:r>
      <w:proofErr w:type="spellEnd"/>
      <w:r w:rsidRPr="007A3F16">
        <w:rPr>
          <w:color w:val="000000"/>
          <w:szCs w:val="23"/>
        </w:rPr>
        <w:t> – состояние защищенности информационной инфраструктуры и содержащейся в ней информации от внешних и внутренних угроз.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 w:val="28"/>
          <w:szCs w:val="23"/>
        </w:rPr>
      </w:pPr>
    </w:p>
    <w:p w:rsidP="007A3F16" w:rsidR="007A3F16" w:rsidRDefault="007A3F16">
      <w:pPr>
        <w:jc w:val="both"/>
        <w:rPr>
          <w:rFonts w:ascii="Times New Roman" w:cs="Times New Roman" w:hAnsi="Times New Roman"/>
          <w:color w:val="000000"/>
          <w:sz w:val="24"/>
          <w:szCs w:val="23"/>
          <w:shd w:color="auto" w:fill="FFFFFF" w:val="clear"/>
        </w:rPr>
      </w:pPr>
      <w:r>
        <w:rPr>
          <w:rFonts w:ascii="Times New Roman" w:cs="Times New Roman" w:hAnsi="Times New Roman"/>
          <w:noProof/>
          <w:color w:val="000000"/>
          <w:sz w:val="24"/>
          <w:szCs w:val="23"/>
          <w:shd w:color="auto" w:fill="FFFFFF" w:val="clear"/>
          <w:lang w:eastAsia="ru-RU"/>
        </w:rPr>
        <w:drawing>
          <wp:inline distB="0" distL="0" distR="0" distT="0">
            <wp:extent cx="3000375" cy="2857500"/>
            <wp:effectExtent b="0" l="0" r="9525" t="0"/>
            <wp:docPr descr="C:\Users\Елена\Desktop\изображение_2022-10-20_111548941.png"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Елена\Desktop\изображение_2022-10-20_111548941.png" id="0" name="Picture 12"/>
                    <pic:cNvPicPr>
                      <a:picLocks noChangeArrowheads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7A3F16" w:rsidR="007A3F16" w:rsidRDefault="007A3F16" w:rsidRPr="007A3F16">
      <w:pPr>
        <w:shd w:color="auto" w:fill="FFFFFF" w:val="clear"/>
        <w:spacing w:after="0" w:line="240" w:lineRule="auto"/>
        <w:jc w:val="both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3"/>
          <w:lang w:eastAsia="ru-RU"/>
        </w:rPr>
      </w:pPr>
      <w:proofErr w:type="spellStart"/>
      <w:r w:rsidRPr="007A3F16">
        <w:rPr>
          <w:rFonts w:ascii="Times New Roman" w:cs="Times New Roman" w:eastAsia="Times New Roman" w:hAnsi="Times New Roman"/>
          <w:b/>
          <w:bCs/>
          <w:color w:val="000000"/>
          <w:sz w:val="24"/>
          <w:szCs w:val="23"/>
          <w:bdr w:color="auto" w:frame="1" w:space="0" w:sz="0" w:val="none"/>
          <w:lang w:eastAsia="ru-RU"/>
        </w:rPr>
        <w:t>Киберинцидент</w:t>
      </w:r>
      <w:proofErr w:type="spellEnd"/>
      <w:r w:rsidRPr="007A3F16">
        <w:rPr>
          <w:rFonts w:ascii="Times New Roman" w:cs="Times New Roman" w:eastAsia="Times New Roman" w:hAnsi="Times New Roman"/>
          <w:color w:val="000000"/>
          <w:sz w:val="24"/>
          <w:szCs w:val="23"/>
          <w:lang w:eastAsia="ru-RU"/>
        </w:rPr>
        <w:t> – событие, которое фактически или потенциально угрожает конфиденциальности, целостности, подлинности, доступности и сохранности информации, а также представляет собой нарушение (угрозу нарушения) политик безопасности.</w:t>
      </w:r>
    </w:p>
    <w:p w:rsidP="007A3F16" w:rsidR="007A3F16" w:rsidRDefault="007A3F16" w:rsidRPr="007A3F16">
      <w:pPr>
        <w:shd w:color="auto" w:fill="FFFFFF" w:val="clear"/>
        <w:spacing w:after="0" w:line="240" w:lineRule="auto"/>
        <w:jc w:val="both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3"/>
          <w:lang w:eastAsia="ru-RU"/>
        </w:rPr>
      </w:pPr>
      <w:proofErr w:type="spellStart"/>
      <w:r w:rsidRPr="007A3F16">
        <w:rPr>
          <w:rFonts w:ascii="Times New Roman" w:cs="Times New Roman" w:eastAsia="Times New Roman" w:hAnsi="Times New Roman"/>
          <w:b/>
          <w:bCs/>
          <w:color w:val="000000"/>
          <w:sz w:val="24"/>
          <w:szCs w:val="23"/>
          <w:bdr w:color="auto" w:frame="1" w:space="0" w:sz="0" w:val="none"/>
          <w:lang w:eastAsia="ru-RU"/>
        </w:rPr>
        <w:t>Кибертерроризм</w:t>
      </w:r>
      <w:proofErr w:type="spellEnd"/>
      <w:r w:rsidRPr="007A3F16">
        <w:rPr>
          <w:rFonts w:ascii="Times New Roman" w:cs="Times New Roman" w:eastAsia="Times New Roman" w:hAnsi="Times New Roman"/>
          <w:color w:val="000000"/>
          <w:sz w:val="24"/>
          <w:szCs w:val="23"/>
          <w:lang w:eastAsia="ru-RU"/>
        </w:rPr>
        <w:t> – атаки на информационные системы, несущие угрозу здоровью и жизни людей, а также способные спровоцировать серьезные нарушения функционирования критически важных объектов в целях оказания воздействия на принятие решений органами власти, либо воспрепятствования политической или иной общественной деятельности, либо устрашения населения, либо дестабилизации общественного порядка. </w:t>
      </w:r>
    </w:p>
    <w:p w:rsidP="007A3F16" w:rsidR="007A3F16" w:rsidRDefault="007A3F16">
      <w:pPr>
        <w:jc w:val="both"/>
        <w:rPr>
          <w:rFonts w:ascii="Times New Roman" w:cs="Times New Roman" w:hAnsi="Times New Roman"/>
          <w:color w:val="000000"/>
          <w:sz w:val="24"/>
          <w:szCs w:val="23"/>
          <w:shd w:color="auto" w:fill="FFFFFF" w:val="clear"/>
        </w:rPr>
      </w:pPr>
      <w:r w:rsidRPr="007A3F16"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B="0" distL="0" distR="0" distT="0">
                <wp:extent cx="304800" cy="304800"/>
                <wp:effectExtent b="0" l="0" r="0" t="0"/>
                <wp:docPr descr="https://ushachi-tcson.by/files/00213/obj/140/91093/img/%D0%B8%D0%B7%D0%BE%D0%B1%D1%80%D0%B0%D0%B6%D0%B5%D0%BD%D0%B8%D0%B5_2022-10-20_111622064.png"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>
        <w:rPr>
          <w:rFonts w:ascii="Times New Roman" w:cs="Times New Roman" w:hAnsi="Times New Roman"/>
          <w:noProof/>
          <w:color w:val="000000"/>
          <w:sz w:val="24"/>
          <w:szCs w:val="23"/>
          <w:shd w:color="auto" w:fill="FFFFFF" w:val="clear"/>
          <w:lang w:eastAsia="ru-RU"/>
        </w:rPr>
        <w:drawing>
          <wp:inline distB="0" distL="0" distR="0" distT="0">
            <wp:extent cx="3000375" cy="2857500"/>
            <wp:effectExtent b="0" l="0" r="9525" t="0"/>
            <wp:docPr descr="C:\Users\Елена\Desktop\изображение_2022-10-20_111622064.png"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Елена\Desktop\изображение_2022-10-20_111622064.png" id="0" name="Picture 15"/>
                    <pic:cNvPicPr>
                      <a:picLocks noChangeArrowheads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r w:rsidRPr="007A3F16">
        <w:rPr>
          <w:rStyle w:val="a3"/>
          <w:color w:val="000000"/>
          <w:szCs w:val="23"/>
          <w:bdr w:color="auto" w:frame="1" w:space="0" w:sz="0" w:val="none"/>
        </w:rPr>
        <w:t>Конфиденциальность информации</w:t>
      </w:r>
      <w:r w:rsidRPr="007A3F16">
        <w:rPr>
          <w:color w:val="000000"/>
          <w:szCs w:val="23"/>
        </w:rPr>
        <w:t> – требование не допускать распространения и (или) предоставления информации без согласия ее обладателя или иного основания, предусмотренного законодательными актами Республики Беларусь.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r w:rsidRPr="007A3F16">
        <w:rPr>
          <w:rStyle w:val="a3"/>
          <w:color w:val="000000"/>
          <w:szCs w:val="23"/>
          <w:bdr w:color="auto" w:frame="1" w:space="0" w:sz="0" w:val="none"/>
        </w:rPr>
        <w:t>Обладатель информации</w:t>
      </w:r>
      <w:r w:rsidRPr="007A3F16">
        <w:rPr>
          <w:color w:val="000000"/>
          <w:szCs w:val="23"/>
        </w:rPr>
        <w:t> – субъект информационных отношений, получивший права обладателя информации по основаниям, установленным актами законодательства Республики Беларусь, или по договору.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r w:rsidRPr="007A3F16">
        <w:rPr>
          <w:rStyle w:val="a3"/>
          <w:color w:val="000000"/>
          <w:szCs w:val="23"/>
          <w:bdr w:color="auto" w:frame="1" w:space="0" w:sz="0" w:val="none"/>
        </w:rPr>
        <w:t>Персональные данные </w:t>
      </w:r>
      <w:r w:rsidRPr="007A3F16">
        <w:rPr>
          <w:color w:val="000000"/>
          <w:szCs w:val="23"/>
        </w:rPr>
        <w:t>– основные и дополнительные персональные данные физического лица, подлежащие в соответствии с законодательными актами Республики Бел</w:t>
      </w:r>
      <w:bookmarkStart w:id="0" w:name="_GoBack"/>
      <w:bookmarkEnd w:id="0"/>
      <w:r w:rsidRPr="007A3F16">
        <w:rPr>
          <w:color w:val="000000"/>
          <w:szCs w:val="23"/>
        </w:rPr>
        <w:t>арусь внесению в регистр населения, а также иные данные, позволяющие идентифицировать такое лицо.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r w:rsidRPr="007A3F16">
        <w:rPr>
          <w:rStyle w:val="a3"/>
          <w:color w:val="000000"/>
          <w:szCs w:val="23"/>
          <w:bdr w:color="auto" w:frame="1" w:space="0" w:sz="0" w:val="none"/>
        </w:rPr>
        <w:t>Пользователь информации</w:t>
      </w:r>
      <w:r w:rsidRPr="007A3F16">
        <w:rPr>
          <w:color w:val="000000"/>
          <w:szCs w:val="23"/>
        </w:rPr>
        <w:t> – субъект информационных отношений, получающий, распространяющий и (или) предоставляющий информацию, реализующий право на пользование ею.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r w:rsidRPr="007A3F16">
        <w:rPr>
          <w:rStyle w:val="a3"/>
          <w:color w:val="000000"/>
          <w:szCs w:val="23"/>
          <w:bdr w:color="auto" w:frame="1" w:space="0" w:sz="0" w:val="none"/>
        </w:rPr>
        <w:t>Пользователь информационной системы и (или) информационной сети</w:t>
      </w:r>
      <w:r w:rsidRPr="007A3F16">
        <w:rPr>
          <w:color w:val="000000"/>
          <w:szCs w:val="23"/>
        </w:rPr>
        <w:t> – субъект информационных отношений, получивший доступ к информационной системе и (или) информационной сети и пользующийся ими.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r w:rsidRPr="007A3F16">
        <w:rPr>
          <w:rStyle w:val="a3"/>
          <w:color w:val="000000"/>
          <w:szCs w:val="23"/>
          <w:bdr w:color="auto" w:frame="1" w:space="0" w:sz="0" w:val="none"/>
        </w:rPr>
        <w:t>Предоставление информации</w:t>
      </w:r>
      <w:r w:rsidRPr="007A3F16">
        <w:rPr>
          <w:color w:val="000000"/>
          <w:szCs w:val="23"/>
        </w:rPr>
        <w:t> – действия, направленные на ознакомление с информацией определенного круга лиц.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r w:rsidRPr="007A3F16">
        <w:rPr>
          <w:rStyle w:val="a3"/>
          <w:color w:val="000000"/>
          <w:szCs w:val="23"/>
          <w:bdr w:color="auto" w:frame="1" w:space="0" w:sz="0" w:val="none"/>
        </w:rPr>
        <w:t>Преступления в информационной сфере</w:t>
      </w:r>
      <w:r w:rsidRPr="007A3F16">
        <w:rPr>
          <w:color w:val="000000"/>
          <w:szCs w:val="23"/>
        </w:rPr>
        <w:t> – предусмотренные Уголовным кодексом Республики Беларусь преступления против информационной безопасности (</w:t>
      </w:r>
      <w:proofErr w:type="spellStart"/>
      <w:r w:rsidRPr="007A3F16">
        <w:rPr>
          <w:color w:val="000000"/>
          <w:szCs w:val="23"/>
        </w:rPr>
        <w:t>киберпреступления</w:t>
      </w:r>
      <w:proofErr w:type="spellEnd"/>
      <w:r w:rsidRPr="007A3F16">
        <w:rPr>
          <w:color w:val="000000"/>
          <w:szCs w:val="23"/>
        </w:rPr>
        <w:t xml:space="preserve">) и иные преступления, предметом или </w:t>
      </w:r>
      <w:proofErr w:type="gramStart"/>
      <w:r w:rsidRPr="007A3F16">
        <w:rPr>
          <w:color w:val="000000"/>
          <w:szCs w:val="23"/>
        </w:rPr>
        <w:t>средством совершения</w:t>
      </w:r>
      <w:proofErr w:type="gramEnd"/>
      <w:r w:rsidRPr="007A3F16">
        <w:rPr>
          <w:color w:val="000000"/>
          <w:szCs w:val="23"/>
        </w:rPr>
        <w:t xml:space="preserve"> которых являются информация, информационные системы и сети.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r w:rsidRPr="007A3F16">
        <w:rPr>
          <w:rStyle w:val="a3"/>
          <w:color w:val="000000"/>
          <w:szCs w:val="23"/>
          <w:bdr w:color="auto" w:frame="1" w:space="0" w:sz="0" w:val="none"/>
        </w:rPr>
        <w:t>Распространение информации</w:t>
      </w:r>
      <w:r w:rsidRPr="007A3F16">
        <w:rPr>
          <w:color w:val="000000"/>
          <w:szCs w:val="23"/>
        </w:rPr>
        <w:t> – действия, направленные на ознакомление с информацией неопределенного круга лиц.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proofErr w:type="spellStart"/>
      <w:r w:rsidRPr="007A3F16">
        <w:rPr>
          <w:rStyle w:val="a3"/>
          <w:color w:val="000000"/>
          <w:szCs w:val="23"/>
          <w:bdr w:color="auto" w:frame="1" w:space="0" w:sz="0" w:val="none"/>
        </w:rPr>
        <w:t>Сваттинг</w:t>
      </w:r>
      <w:proofErr w:type="spellEnd"/>
      <w:r w:rsidRPr="007A3F16">
        <w:rPr>
          <w:color w:val="000000"/>
          <w:szCs w:val="23"/>
        </w:rPr>
        <w:t> – тактика домогательства, которая реализуется посредством направления ложного вызова той или иной службе. Например, люди сообщают о минированиях, преследуя цель устроить неразбериху и панику в конкретном месте.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proofErr w:type="spellStart"/>
      <w:r w:rsidRPr="007A3F16">
        <w:rPr>
          <w:rStyle w:val="a3"/>
          <w:color w:val="000000"/>
          <w:szCs w:val="23"/>
          <w:bdr w:color="auto" w:frame="1" w:space="0" w:sz="0" w:val="none"/>
        </w:rPr>
        <w:t>Смишинг</w:t>
      </w:r>
      <w:proofErr w:type="spellEnd"/>
      <w:r w:rsidRPr="007A3F16">
        <w:rPr>
          <w:color w:val="000000"/>
          <w:szCs w:val="23"/>
        </w:rPr>
        <w:t xml:space="preserve"> – вид мошенничества (англ. </w:t>
      </w:r>
      <w:proofErr w:type="spellStart"/>
      <w:r w:rsidRPr="007A3F16">
        <w:rPr>
          <w:color w:val="000000"/>
          <w:szCs w:val="23"/>
        </w:rPr>
        <w:t>smishing</w:t>
      </w:r>
      <w:proofErr w:type="spellEnd"/>
      <w:r w:rsidRPr="007A3F16">
        <w:rPr>
          <w:color w:val="000000"/>
          <w:szCs w:val="23"/>
        </w:rPr>
        <w:t xml:space="preserve"> – SMS + </w:t>
      </w:r>
      <w:proofErr w:type="spellStart"/>
      <w:r w:rsidRPr="007A3F16">
        <w:rPr>
          <w:color w:val="000000"/>
          <w:szCs w:val="23"/>
        </w:rPr>
        <w:t>phishing</w:t>
      </w:r>
      <w:proofErr w:type="spellEnd"/>
      <w:r w:rsidRPr="007A3F16">
        <w:rPr>
          <w:color w:val="000000"/>
          <w:szCs w:val="23"/>
        </w:rPr>
        <w:t xml:space="preserve">), целью которого является переход по ссылке из SMS и/или загрузки вредоносного программного обеспечения. </w:t>
      </w:r>
      <w:proofErr w:type="spellStart"/>
      <w:r w:rsidRPr="007A3F16">
        <w:rPr>
          <w:color w:val="000000"/>
          <w:szCs w:val="23"/>
        </w:rPr>
        <w:t>Смишинг</w:t>
      </w:r>
      <w:proofErr w:type="spellEnd"/>
      <w:r w:rsidRPr="007A3F16">
        <w:rPr>
          <w:color w:val="000000"/>
          <w:szCs w:val="23"/>
        </w:rPr>
        <w:t>-сообщение обычно имеет схожий внешний вид сообщения от банка, государственного учреждения, оператора электросвязи, известного магазина, а также о внезапном выигрыше в лотерею или акции и т.д. </w:t>
      </w:r>
    </w:p>
    <w:p w:rsidP="007A3F16" w:rsidR="007A3F16" w:rsidRDefault="007A3F16" w:rsidRPr="007A3F16">
      <w:pPr>
        <w:pStyle w:val="a6"/>
        <w:shd w:color="auto" w:fill="FFFFFF" w:val="clear"/>
        <w:spacing w:after="0" w:afterAutospacing="0" w:before="0" w:beforeAutospacing="0"/>
        <w:jc w:val="both"/>
        <w:textAlignment w:val="baseline"/>
        <w:rPr>
          <w:color w:val="000000"/>
          <w:szCs w:val="23"/>
        </w:rPr>
      </w:pPr>
      <w:r w:rsidRPr="007A3F16">
        <w:rPr>
          <w:rStyle w:val="a3"/>
          <w:color w:val="000000"/>
          <w:szCs w:val="23"/>
          <w:bdr w:color="auto" w:frame="1" w:space="0" w:sz="0" w:val="none"/>
        </w:rPr>
        <w:t>Цифровая гигиена – </w:t>
      </w:r>
      <w:r w:rsidRPr="007A3F16">
        <w:rPr>
          <w:color w:val="000000"/>
          <w:szCs w:val="23"/>
        </w:rPr>
        <w:t>это свод правил, следуя которым, человек обеспечивает себе информационную безопасность (не анонимность, а защиту) в сети Интернет. Относится к сфере знаний о цифровой безопасности. </w:t>
      </w:r>
    </w:p>
    <w:p w:rsidP="007A3F16" w:rsidR="007A3F16" w:rsidRDefault="007A3F16">
      <w:pPr>
        <w:jc w:val="both"/>
        <w:rPr>
          <w:rFonts w:ascii="Times New Roman" w:cs="Times New Roman" w:hAnsi="Times New Roman"/>
          <w:color w:val="000000"/>
          <w:sz w:val="24"/>
          <w:szCs w:val="23"/>
          <w:shd w:color="auto" w:fill="FFFFFF" w:val="clear"/>
        </w:rPr>
      </w:pPr>
    </w:p>
    <w:sectPr w:rsidR="007A3F16" w:rsidSect="007A3F16">
      <w:pgSz w:h="16838" w:w="11906"/>
      <w:pgMar w:bottom="284" w:footer="708" w:gutter="0" w:header="708" w:left="851" w:right="424" w:top="42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16"/>
    <w:rsid w:val="0001233F"/>
    <w:rsid w:val="000B0988"/>
    <w:rsid w:val="007A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F9A2F-2ED0-4DD3-AB60-8563C213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3F16"/>
    <w:rPr>
      <w:b/>
      <w:bCs/>
    </w:rPr>
  </w:style>
  <w:style w:type="character" w:styleId="a4">
    <w:name w:val="Emphasis"/>
    <w:basedOn w:val="a0"/>
    <w:uiPriority w:val="20"/>
    <w:qFormat/>
    <w:rsid w:val="007A3F16"/>
    <w:rPr>
      <w:i/>
      <w:iCs/>
    </w:rPr>
  </w:style>
  <w:style w:type="character" w:styleId="a5">
    <w:name w:val="Hyperlink"/>
    <w:basedOn w:val="a0"/>
    <w:uiPriority w:val="99"/>
    <w:unhideWhenUsed/>
    <w:rsid w:val="007A3F16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7A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12" Target="theme/theme1.xml" Type="http://schemas.openxmlformats.org/officeDocument/2006/relationships/them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fontTable.xml" Type="http://schemas.openxmlformats.org/officeDocument/2006/relationships/fontTable"/><Relationship Id="rId5" Target="media/image2.jpeg" Type="http://schemas.openxmlformats.org/officeDocument/2006/relationships/image"/><Relationship Id="rId10" Target="media/image7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2026-04-14T11:19:00Z</dcterms:created>
  <dcterms:modified xsi:type="dcterms:W3CDTF">2026-04-14T11:25:00Z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270146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