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B959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О результатах контроля за ходом подготовки теплоисточников к работе в ОЗП 2026/2027</w:t>
      </w:r>
    </w:p>
    <w:p w14:paraId="16CF6F8E" w14:textId="77777777" w:rsidR="00B475CB" w:rsidRPr="00B475CB" w:rsidRDefault="00B475CB" w:rsidP="00B475CB">
      <w:pPr>
        <w:rPr>
          <w:b/>
          <w:bCs/>
          <w:lang w:val="ru-BY"/>
        </w:rPr>
      </w:pPr>
      <w:r w:rsidRPr="00B475CB">
        <w:rPr>
          <w:b/>
          <w:bCs/>
          <w:lang w:val="ru-BY"/>
        </w:rPr>
        <w:t>В соответствии с решением Витебского областного исполнительного комитета от 27 мая 2026 г. № 427 «Об итогах отопительного периода 2025/2026 года и подготовке к работе в осенне-зимний период 2026/2027 года»</w:t>
      </w:r>
    </w:p>
    <w:p w14:paraId="2EF74B24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 xml:space="preserve">(далее – Решение № 427) Витебским областным управлением </w:t>
      </w:r>
      <w:proofErr w:type="spellStart"/>
      <w:r w:rsidRPr="00B475CB">
        <w:rPr>
          <w:lang w:val="ru-BY"/>
        </w:rPr>
        <w:t>Госпромнадзора</w:t>
      </w:r>
      <w:proofErr w:type="spellEnd"/>
      <w:r w:rsidRPr="00B475CB">
        <w:rPr>
          <w:lang w:val="ru-BY"/>
        </w:rPr>
        <w:t xml:space="preserve"> проводятся обследования теплоисточников области, на предмет их готовности к работе в отопительный период 2026/2027 года.</w:t>
      </w:r>
    </w:p>
    <w:p w14:paraId="600A7287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К основным характерным нарушениям, выявляемым в ходе обследования котельных, можно отнести:</w:t>
      </w:r>
    </w:p>
    <w:p w14:paraId="0BD885B4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отсутствие проверки знаний ответственных специалистов и обслуживающего персонала;</w:t>
      </w:r>
    </w:p>
    <w:p w14:paraId="0C8E0A02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не проведено техническое диагностирование оборудованию, отработавшему назначенный срок службы или его техническое освидетельствование;</w:t>
      </w:r>
    </w:p>
    <w:p w14:paraId="4022AA5F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не проведены режимно-наладочные работы на котлах;</w:t>
      </w:r>
    </w:p>
    <w:p w14:paraId="0CEEC878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не проведение технического обслуживания основного и вспомогательного оборудования котельных;</w:t>
      </w:r>
    </w:p>
    <w:p w14:paraId="3F8D61C9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не проведение текущего ремонта и технического обслуживания объектов газораспределительной системы и газопотребления котельных;</w:t>
      </w:r>
    </w:p>
    <w:p w14:paraId="2DED2CB8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 xml:space="preserve">отсутствуют или не </w:t>
      </w:r>
      <w:proofErr w:type="spellStart"/>
      <w:r w:rsidRPr="00B475CB">
        <w:rPr>
          <w:lang w:val="ru-BY"/>
        </w:rPr>
        <w:t>поверены</w:t>
      </w:r>
      <w:proofErr w:type="spellEnd"/>
      <w:r w:rsidRPr="00B475CB">
        <w:rPr>
          <w:lang w:val="ru-BY"/>
        </w:rPr>
        <w:t xml:space="preserve"> датчики контроля содержания СО в котельных с постоянным содержанием персонала;</w:t>
      </w:r>
    </w:p>
    <w:p w14:paraId="7ED95A5E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отсутствие контроля за работой систем автоматики безопасности и регулирования работы котлов, что может привести к происшествию;</w:t>
      </w:r>
    </w:p>
    <w:p w14:paraId="736CCBF2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отсутствие контроля за качеством сетевой и подпиточной воды, что может привести к отложению накипи и шлама, повышению температуры стенок поверхностей нагрева, снижению их прочности и, как следствие, влечет увеличение расхода топлива, необходимость проведения преждевременных и затратных ремонтов, а иногда и к их замене и т.д.</w:t>
      </w:r>
    </w:p>
    <w:p w14:paraId="2FD8F03C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 xml:space="preserve">не </w:t>
      </w:r>
      <w:proofErr w:type="spellStart"/>
      <w:r w:rsidRPr="00B475CB">
        <w:rPr>
          <w:lang w:val="ru-BY"/>
        </w:rPr>
        <w:t>поверены</w:t>
      </w:r>
      <w:proofErr w:type="spellEnd"/>
      <w:r w:rsidRPr="00B475CB">
        <w:rPr>
          <w:lang w:val="ru-BY"/>
        </w:rPr>
        <w:t xml:space="preserve"> манометры.</w:t>
      </w:r>
    </w:p>
    <w:p w14:paraId="3085083D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По состоянию на начало августа 2026 г. выдано 65 % заключений о готовности теплоисточников к отопительному периоду. Отмечается положительная динамика по количеству полученных заключений, так за аналогичный период 2025 года было выдано 62 % заключений.</w:t>
      </w:r>
    </w:p>
    <w:p w14:paraId="7A99C8D9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В соответствии с решением Витебского областного исполнительного комитета № 627 паспорта готовности теплоисточников необходимо получить в следующие сроки:</w:t>
      </w:r>
    </w:p>
    <w:p w14:paraId="78BB31FA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31.07.2026 – на теплоисточники организаций жилищно-коммунального хозяйства и организаций, не входящих в систему жилищно-коммунального хозяйства, не менее 50 %;</w:t>
      </w:r>
    </w:p>
    <w:p w14:paraId="40793B7B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14.08.2026 – на теплоисточники организаций жилищно-коммунального хозяйства не менее 80 % и организаций, не входящих в систему жилищно-коммунального хозяйства, не менее 70 %;</w:t>
      </w:r>
    </w:p>
    <w:p w14:paraId="05EBBAAC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t>01.09.2026 – на теплоисточники организаций жилищно-коммунального хозяйства 100 % и организаций, не входящих в систему жилищно-коммунального хозяйства, не менее 90 %;</w:t>
      </w:r>
    </w:p>
    <w:p w14:paraId="3F651BEC" w14:textId="77777777" w:rsidR="00B475CB" w:rsidRPr="00B475CB" w:rsidRDefault="00B475CB" w:rsidP="00B475CB">
      <w:pPr>
        <w:rPr>
          <w:lang w:val="ru-BY"/>
        </w:rPr>
      </w:pPr>
      <w:r w:rsidRPr="00B475CB">
        <w:rPr>
          <w:lang w:val="ru-BY"/>
        </w:rPr>
        <w:lastRenderedPageBreak/>
        <w:t>20.09.2026 – на теплоисточники организаций жилищно-коммунального хозяйства и организаций, не входящих в систему жилищно-коммунального хозяйства, 100 %.</w:t>
      </w:r>
    </w:p>
    <w:p w14:paraId="24ECF27F" w14:textId="77777777" w:rsidR="00B475CB" w:rsidRPr="00B475CB" w:rsidRDefault="00B475CB" w:rsidP="00B475CB">
      <w:pPr>
        <w:rPr>
          <w:lang w:val="ru-BY"/>
        </w:rPr>
      </w:pPr>
      <w:r w:rsidRPr="00B475CB">
        <w:rPr>
          <w:b/>
          <w:bCs/>
          <w:lang w:val="ru-BY"/>
        </w:rPr>
        <w:t xml:space="preserve">Витебское областное управление </w:t>
      </w:r>
      <w:proofErr w:type="spellStart"/>
      <w:r w:rsidRPr="00B475CB">
        <w:rPr>
          <w:b/>
          <w:bCs/>
          <w:lang w:val="ru-BY"/>
        </w:rPr>
        <w:t>Госпромнадзора</w:t>
      </w:r>
      <w:proofErr w:type="spellEnd"/>
    </w:p>
    <w:p w14:paraId="5C4A09D6" w14:textId="77777777" w:rsidR="00712454" w:rsidRDefault="00712454"/>
    <w:sectPr w:rsidR="0071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CB"/>
    <w:rsid w:val="000B6EB8"/>
    <w:rsid w:val="003B2966"/>
    <w:rsid w:val="00712454"/>
    <w:rsid w:val="00B475CB"/>
    <w:rsid w:val="00E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80D9"/>
  <w15:chartTrackingRefBased/>
  <w15:docId w15:val="{5C67ED1A-F31C-4532-869C-7FF33ABE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5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5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5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5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5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5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75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2026-08-04T08:46:00Z</dcterms:created>
  <dcterms:modified xsi:type="dcterms:W3CDTF">2026-08-04T08:46:00Z</dcterms:modified>
</cp:coreProperties>
</file>